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DD" w:rsidRDefault="00331B13" w:rsidP="00331B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Rapport du premier livrable</w:t>
      </w:r>
    </w:p>
    <w:p w:rsidR="00331B13" w:rsidRPr="00331B13" w:rsidRDefault="00331B13" w:rsidP="00331B13">
      <w:pPr>
        <w:rPr>
          <w:sz w:val="28"/>
          <w:szCs w:val="28"/>
        </w:rPr>
      </w:pPr>
      <w:r w:rsidRPr="00331B13">
        <w:rPr>
          <w:sz w:val="28"/>
          <w:szCs w:val="28"/>
        </w:rPr>
        <w:t>Sommaire</w:t>
      </w:r>
      <w:r>
        <w:rPr>
          <w:sz w:val="28"/>
          <w:szCs w:val="28"/>
        </w:rPr>
        <w:t xml:space="preserve"> du premier livrable</w:t>
      </w:r>
      <w:r w:rsidRPr="00331B13">
        <w:rPr>
          <w:sz w:val="28"/>
          <w:szCs w:val="28"/>
        </w:rPr>
        <w:t xml:space="preserve"> nous retrouvons dans ce premier livrable :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31B13">
        <w:rPr>
          <w:sz w:val="28"/>
          <w:szCs w:val="28"/>
        </w:rPr>
        <w:t>Un premier cahier des charges</w:t>
      </w:r>
    </w:p>
    <w:p w:rsidR="00F25FCE" w:rsidRDefault="00F25FCE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Organisation :</w:t>
      </w:r>
    </w:p>
    <w:p w:rsidR="00331B13" w:rsidRDefault="00331B13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Wbs </w:t>
      </w:r>
    </w:p>
    <w:p w:rsidR="00331B13" w:rsidRDefault="00331B13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matrices</w:t>
      </w:r>
    </w:p>
    <w:p w:rsidR="00331B13" w:rsidRDefault="00331B13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Gantt</w:t>
      </w:r>
    </w:p>
    <w:p w:rsidR="007368DD" w:rsidRDefault="007368DD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 sur le cycle de vie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Recueil des besoins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Deux maquettes avec logo</w:t>
      </w:r>
    </w:p>
    <w:p w:rsidR="00331B13" w:rsidRDefault="00331B13" w:rsidP="007368D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rapport markdown expliquant les finalités du logo et de la charte graphique</w:t>
      </w:r>
    </w:p>
    <w:p w:rsidR="007368DD" w:rsidRDefault="007368DD" w:rsidP="007368DD">
      <w:pPr>
        <w:rPr>
          <w:sz w:val="28"/>
          <w:szCs w:val="28"/>
        </w:rPr>
      </w:pP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>Le premier cahier des charges</w:t>
      </w: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ab/>
        <w:t>Nous proposons un premier cahier des charges qui n’est pas complet et sera complété au fil du temps. Nous le retrouvons dans le dossier document.</w:t>
      </w:r>
    </w:p>
    <w:p w:rsidR="007368DD" w:rsidRDefault="007368DD" w:rsidP="007368DD">
      <w:pPr>
        <w:rPr>
          <w:sz w:val="28"/>
          <w:szCs w:val="28"/>
        </w:rPr>
      </w:pP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ab/>
        <w:t>Nous retrouvons le wbs des activités à réaliser, avec les matrices et gantt pour enfin proposer un cycle de vie. Nous retrouvons le dossier organisation dans le dossier Document.</w:t>
      </w:r>
    </w:p>
    <w:p w:rsidR="00647425" w:rsidRDefault="00647425" w:rsidP="007368DD">
      <w:pPr>
        <w:rPr>
          <w:sz w:val="28"/>
          <w:szCs w:val="28"/>
        </w:rPr>
      </w:pP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ab/>
        <w:t>Nous listons les exigences définit par le client. Nous retrouvons le fichier dans le dossier Document.</w:t>
      </w:r>
    </w:p>
    <w:p w:rsidR="00647425" w:rsidRDefault="00647425" w:rsidP="007368DD">
      <w:pPr>
        <w:rPr>
          <w:sz w:val="28"/>
          <w:szCs w:val="28"/>
        </w:rPr>
      </w:pP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Maquette</w:t>
      </w:r>
    </w:p>
    <w:p w:rsidR="00647425" w:rsidRP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Les deux maquettes et le rapport de la charte graphique et du logo se trouve dans un dossier Maquette dans Document</w:t>
      </w:r>
    </w:p>
    <w:sectPr w:rsidR="00647425" w:rsidRPr="007368DD" w:rsidSect="00E9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7472"/>
    <w:multiLevelType w:val="hybridMultilevel"/>
    <w:tmpl w:val="AAB44FC0"/>
    <w:lvl w:ilvl="0" w:tplc="2CE0E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1B13"/>
    <w:rsid w:val="00331B13"/>
    <w:rsid w:val="00647425"/>
    <w:rsid w:val="007368DD"/>
    <w:rsid w:val="009E0ED2"/>
    <w:rsid w:val="00C97F8C"/>
    <w:rsid w:val="00E97816"/>
    <w:rsid w:val="00F2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aaraujo</cp:lastModifiedBy>
  <cp:revision>4</cp:revision>
  <dcterms:created xsi:type="dcterms:W3CDTF">2022-09-27T15:23:00Z</dcterms:created>
  <dcterms:modified xsi:type="dcterms:W3CDTF">2022-09-27T15:55:00Z</dcterms:modified>
</cp:coreProperties>
</file>