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76" w:line="259" w:lineRule="auto"/>
        <w:ind w:left="3289" w:right="2852" w:firstLine="578.0000000000001"/>
        <w:jc w:val="left"/>
        <w:rPr>
          <w:b w:val="0"/>
          <w:i w:val="0"/>
        </w:rPr>
      </w:pPr>
      <w:r w:rsidDel="00000000" w:rsidR="00000000" w:rsidRPr="00000000">
        <w:rPr>
          <w:rtl w:val="0"/>
        </w:rPr>
        <w:t xml:space="preserve">Stata tips #3 </w:t>
      </w:r>
      <w:r w:rsidDel="00000000" w:rsidR="00000000" w:rsidRPr="00000000">
        <w:rPr>
          <w:rtl w:val="0"/>
        </w:rPr>
      </w:r>
    </w:p>
    <w:p w:rsidR="00000000" w:rsidDel="00000000" w:rsidP="00000000" w:rsidRDefault="00000000" w:rsidRPr="00000000" w14:paraId="00000002">
      <w:pPr>
        <w:spacing w:line="275" w:lineRule="auto"/>
        <w:ind w:left="2257" w:right="2167" w:firstLine="0"/>
        <w:jc w:val="center"/>
        <w:rPr>
          <w:b w:val="1"/>
          <w:i w:val="1"/>
          <w:sz w:val="24"/>
          <w:szCs w:val="24"/>
        </w:rPr>
      </w:pPr>
      <w:r w:rsidDel="00000000" w:rsidR="00000000" w:rsidRPr="00000000">
        <w:rPr>
          <w:b w:val="1"/>
          <w:i w:val="1"/>
          <w:sz w:val="24"/>
          <w:szCs w:val="24"/>
          <w:rtl w:val="0"/>
        </w:rPr>
        <w:t xml:space="preserve">Adapted from previous TAs’ notes and tips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week:</w:t>
      </w:r>
    </w:p>
    <w:p w:rsidR="00000000" w:rsidDel="00000000" w:rsidP="00000000" w:rsidRDefault="00000000" w:rsidRPr="00000000" w14:paraId="00000005">
      <w:pPr>
        <w:tabs>
          <w:tab w:val="left" w:leader="none" w:pos="841"/>
        </w:tabs>
        <w:spacing w:before="19" w:lineRule="auto"/>
        <w:rPr>
          <w:sz w:val="24"/>
          <w:szCs w:val="24"/>
        </w:rPr>
      </w:pPr>
      <w:r w:rsidDel="00000000" w:rsidR="00000000" w:rsidRPr="00000000">
        <w:rPr>
          <w:sz w:val="24"/>
          <w:szCs w:val="24"/>
          <w:rtl w:val="0"/>
        </w:rPr>
        <w:t xml:space="preserve">Using cs, ir commands (REVIEW)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06"/>
        <w:rPr/>
      </w:pPr>
      <w:r w:rsidDel="00000000" w:rsidR="00000000" w:rsidRPr="00000000">
        <w:rPr>
          <w:rtl w:val="0"/>
        </w:rPr>
        <w:t xml:space="preserve">cs, and ir: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ind w:left="106" w:firstLine="0"/>
        <w:rPr>
          <w:b w:val="1"/>
          <w:sz w:val="24"/>
          <w:szCs w:val="24"/>
        </w:rPr>
      </w:pPr>
      <w:r w:rsidDel="00000000" w:rsidR="00000000" w:rsidRPr="00000000">
        <w:rPr>
          <w:b w:val="1"/>
          <w:sz w:val="24"/>
          <w:szCs w:val="24"/>
          <w:rtl w:val="0"/>
        </w:rPr>
        <w:t xml:space="preserve">Cohort study command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22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command </w:t>
      </w:r>
      <w:r w:rsidDel="00000000" w:rsidR="00000000" w:rsidRPr="00000000">
        <w:rPr>
          <w:rFonts w:ascii="Times New Roman" w:cs="Times New Roman" w:eastAsia="Times New Roman" w:hAnsi="Times New Roman"/>
          <w:b w:val="0"/>
          <w:i w:val="1"/>
          <w:smallCaps w:val="0"/>
          <w:strike w:val="0"/>
          <w:color w:val="000000"/>
          <w:sz w:val="24"/>
          <w:szCs w:val="24"/>
          <w:highlight w:val="yellow"/>
          <w:u w:val="none"/>
          <w:vertAlign w:val="baseline"/>
          <w:rtl w:val="0"/>
        </w:rPr>
        <w:t xml:space="preserve">cs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used where you are analyzing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cohort study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there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equal follow-up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subject; this can also be useful with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cross-sectional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based on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cumulative incidence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risk is calculated based on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proportion of cases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basic syntax is</w:t>
      </w:r>
    </w:p>
    <w:p w:rsidR="00000000" w:rsidDel="00000000" w:rsidP="00000000" w:rsidRDefault="00000000" w:rsidRPr="00000000" w14:paraId="0000000C">
      <w:pPr>
        <w:pStyle w:val="Heading1"/>
        <w:spacing w:before="13" w:lineRule="auto"/>
        <w:ind w:left="840" w:firstLine="0"/>
        <w:rPr/>
      </w:pPr>
      <w:r w:rsidDel="00000000" w:rsidR="00000000" w:rsidRPr="00000000">
        <w:rPr>
          <w:rtl w:val="0"/>
        </w:rPr>
        <w:t xml:space="preserve">cs variable1 variable2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first variable represents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case or outcome of interest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second variable is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exposure or predictor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practice this in the Framingham data set, I’ll use the wide format of the Framingham dataset.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0" w:hanging="1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headerReference r:id="rId7" w:type="default"/>
          <w:headerReference r:id="rId8" w:type="even"/>
          <w:pgSz w:h="15840" w:w="12240" w:orient="portrait"/>
          <w:pgMar w:bottom="280" w:top="1260" w:left="1680" w:right="17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can be run with two binary variables and this command is really just an extension of the tab command. We’ll analyze a couple of variables that are already in binary form by comparing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mi_fchd1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cursmoke1.</w:t>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612253</wp:posOffset>
            </wp:positionV>
            <wp:extent cx="4208114" cy="2999422"/>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08114" cy="299942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6.99999999999994" w:lineRule="auto"/>
        <w:ind w:left="115" w:right="167"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see that the output at the top of the table is very similar to the tab command, except that it is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more descriptive from an epidemiological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the number of cases is the number of subjects who had an MI and the exposed column denotes those who were smokers (based on how the variable was coded). In addition, the chi-squared value and P-value are the exact same as the tab command.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167"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shown in the bottom half of the table above, the cs command provides additional valuable information beyond what you get from the tab command. First, under the “Total” row is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Risk” row that provides the proportion of MI subjects in the exposed and the unexposed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comes from dividing the “Cases” row by the “Total” row, and this can be seen by the calculation below: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399/2181</w:t>
      </w:r>
    </w:p>
    <w:p w:rsidR="00000000" w:rsidDel="00000000" w:rsidP="00000000" w:rsidRDefault="00000000" w:rsidRPr="00000000" w14:paraId="00000016">
      <w:pPr>
        <w:spacing w:before="20"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.1829436</w:t>
      </w:r>
    </w:p>
    <w:p w:rsidR="00000000" w:rsidDel="00000000" w:rsidP="00000000" w:rsidRDefault="00000000" w:rsidRPr="00000000" w14:paraId="00000017">
      <w:pPr>
        <w:spacing w:before="19"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332/2253 .14735908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29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four rows all provide additional information that compares the risk of MI for those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who are exposed (smokers) to those who were unexposed (nonsmokers)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w:t>
      </w:r>
      <w:r w:rsidDel="00000000" w:rsidR="00000000" w:rsidRPr="00000000">
        <w:rPr>
          <w:b w:val="1"/>
          <w:i w:val="0"/>
          <w:smallCaps w:val="0"/>
          <w:strike w:val="0"/>
          <w:color w:val="000000"/>
          <w:sz w:val="24"/>
          <w:szCs w:val="24"/>
          <w:u w:val="none"/>
          <w:shd w:fill="auto" w:val="clear"/>
          <w:vertAlign w:val="baseline"/>
          <w:rtl w:val="0"/>
        </w:rPr>
        <w:t xml:space="preserve">risk difference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spacing w:before="22"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0.183-0.147</w:t>
      </w:r>
    </w:p>
    <w:p w:rsidR="00000000" w:rsidDel="00000000" w:rsidP="00000000" w:rsidRDefault="00000000" w:rsidRPr="00000000" w14:paraId="0000001D">
      <w:pPr>
        <w:spacing w:before="63"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.036</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w:t>
      </w:r>
      <w:r w:rsidDel="00000000" w:rsidR="00000000" w:rsidRPr="00000000">
        <w:rPr>
          <w:b w:val="1"/>
          <w:i w:val="0"/>
          <w:smallCaps w:val="0"/>
          <w:strike w:val="0"/>
          <w:color w:val="000000"/>
          <w:sz w:val="24"/>
          <w:szCs w:val="24"/>
          <w:u w:val="none"/>
          <w:shd w:fill="auto" w:val="clear"/>
          <w:vertAlign w:val="baseline"/>
          <w:rtl w:val="0"/>
        </w:rPr>
        <w:t xml:space="preserve">risk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spacing w:before="20" w:line="259" w:lineRule="auto"/>
        <w:ind w:left="106" w:right="662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0.183/0.147 1.244898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the </w:t>
      </w:r>
      <w:r w:rsidDel="00000000" w:rsidR="00000000" w:rsidRPr="00000000">
        <w:rPr>
          <w:b w:val="1"/>
          <w:i w:val="0"/>
          <w:smallCaps w:val="0"/>
          <w:strike w:val="0"/>
          <w:color w:val="000000"/>
          <w:sz w:val="24"/>
          <w:szCs w:val="24"/>
          <w:u w:val="none"/>
          <w:shd w:fill="auto" w:val="clear"/>
          <w:vertAlign w:val="baseline"/>
          <w:rtl w:val="0"/>
        </w:rPr>
        <w:t xml:space="preserve">Attr. frac. ex. and pop.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spacing w:before="20"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(0.183-0.147)/0.183</w:t>
      </w:r>
    </w:p>
    <w:p w:rsidR="00000000" w:rsidDel="00000000" w:rsidP="00000000" w:rsidRDefault="00000000" w:rsidRPr="00000000" w14:paraId="00000024">
      <w:pPr>
        <w:spacing w:before="19"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.19672131</w:t>
      </w:r>
    </w:p>
    <w:p w:rsidR="00000000" w:rsidDel="00000000" w:rsidP="00000000" w:rsidRDefault="00000000" w:rsidRPr="00000000" w14:paraId="00000025">
      <w:pPr>
        <w:spacing w:before="20"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di (0.165-0.147)/0.164</w:t>
      </w:r>
    </w:p>
    <w:p w:rsidR="00000000" w:rsidDel="00000000" w:rsidP="00000000" w:rsidRDefault="00000000" w:rsidRPr="00000000" w14:paraId="00000026">
      <w:pPr>
        <w:spacing w:before="19" w:lineRule="auto"/>
        <w:ind w:left="106"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.1097561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ourier New" w:cs="Courier New" w:eastAsia="Courier New" w:hAnsi="Courier New"/>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firstLine="106"/>
        <w:rPr/>
      </w:pPr>
      <w:r w:rsidDel="00000000" w:rsidR="00000000" w:rsidRPr="00000000">
        <w:rPr>
          <w:highlight w:val="yellow"/>
          <w:rtl w:val="0"/>
        </w:rPr>
        <w:t xml:space="preserve">Incidence ratio</w:t>
      </w:r>
      <w:r w:rsidDel="00000000" w:rsidR="00000000" w:rsidRPr="00000000">
        <w:rPr>
          <w:rtl w:val="0"/>
        </w:rPr>
        <w:t xml:space="preserve"> command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15" w:right="224"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680" w:right="170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command is conceptually similar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takes into account</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highlight w:val="yellow"/>
          <w:u w:val="none"/>
          <w:vertAlign w:val="baseline"/>
          <w:rtl w:val="0"/>
        </w:rPr>
        <w:t xml:space="preserve">person-time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This means that you must enter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time-related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enable the computation. The syntax involves listing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outcome, exposure and 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variables, in that order: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91841" cy="31908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91841"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6.99999999999994" w:lineRule="auto"/>
        <w:ind w:left="11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second row in the table is 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total amount of person-time in the exposed group and in the unexposed 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Dividing the number of MI cases by the total amount of time observed for each group ten gives you the incidence rate. The next two rows are similar to the cs command: the </w:t>
      </w:r>
      <w:r w:rsidDel="00000000" w:rsidR="00000000" w:rsidRPr="00000000">
        <w:rPr>
          <w:b w:val="1"/>
          <w:i w:val="0"/>
          <w:smallCaps w:val="0"/>
          <w:strike w:val="0"/>
          <w:color w:val="000000"/>
          <w:sz w:val="24"/>
          <w:szCs w:val="24"/>
          <w:u w:val="none"/>
          <w:shd w:fill="auto" w:val="clear"/>
          <w:vertAlign w:val="baseline"/>
          <w:rtl w:val="0"/>
        </w:rPr>
        <w:t xml:space="preserve">incidence rate difference and the incidence rate ratio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6.99999999999994" w:lineRule="auto"/>
        <w:ind w:left="0" w:right="126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260" w:left="1680" w:right="17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6"/>
    </w:pPr>
    <w:rPr>
      <w:b w:val="1"/>
      <w:sz w:val="24"/>
      <w:szCs w:val="24"/>
    </w:rPr>
  </w:style>
  <w:style w:type="paragraph" w:styleId="Heading2">
    <w:name w:val="heading 2"/>
    <w:basedOn w:val="Normal"/>
    <w:next w:val="Normal"/>
    <w:pPr>
      <w:ind w:left="2257" w:right="2167"/>
      <w:jc w:val="center"/>
    </w:pPr>
    <w:rPr>
      <w:b w:val="1"/>
      <w:i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6"/>
      <w:outlineLvl w:val="0"/>
    </w:pPr>
    <w:rPr>
      <w:b w:val="1"/>
      <w:bCs w:val="1"/>
      <w:sz w:val="24"/>
      <w:szCs w:val="24"/>
    </w:rPr>
  </w:style>
  <w:style w:type="paragraph" w:styleId="Heading2">
    <w:name w:val="heading 2"/>
    <w:basedOn w:val="Normal"/>
    <w:uiPriority w:val="9"/>
    <w:unhideWhenUsed w:val="1"/>
    <w:qFormat w:val="1"/>
    <w:pPr>
      <w:ind w:left="2257" w:right="2167"/>
      <w:jc w:val="center"/>
      <w:outlineLvl w:val="1"/>
    </w:pPr>
    <w:rPr>
      <w:b w:val="1"/>
      <w:bCs w:val="1"/>
      <w:i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22"/>
      <w:ind w:left="840" w:hanging="361"/>
    </w:pPr>
  </w:style>
  <w:style w:type="paragraph" w:styleId="TableParagraph" w:customStyle="1">
    <w:name w:val="Table Paragraph"/>
    <w:basedOn w:val="Normal"/>
    <w:uiPriority w:val="1"/>
    <w:qFormat w:val="1"/>
  </w:style>
  <w:style w:type="paragraph" w:styleId="Revision">
    <w:name w:val="Revision"/>
    <w:hidden w:val="1"/>
    <w:uiPriority w:val="99"/>
    <w:semiHidden w:val="1"/>
    <w:rsid w:val="008C4F18"/>
    <w:pPr>
      <w:widowControl w:val="1"/>
      <w:autoSpaceDE w:val="1"/>
      <w:autoSpaceDN w:val="1"/>
    </w:pPr>
    <w:rPr>
      <w:rFonts w:ascii="Times New Roman" w:cs="Times New Roman" w:eastAsia="Times New Roman" w:hAnsi="Times New Roman"/>
    </w:rPr>
  </w:style>
  <w:style w:type="paragraph" w:styleId="Header">
    <w:name w:val="header"/>
    <w:basedOn w:val="Normal"/>
    <w:link w:val="HeaderChar"/>
    <w:uiPriority w:val="99"/>
    <w:unhideWhenUsed w:val="1"/>
    <w:rsid w:val="00B67447"/>
    <w:pPr>
      <w:tabs>
        <w:tab w:val="center" w:pos="4680"/>
        <w:tab w:val="right" w:pos="9360"/>
      </w:tabs>
    </w:pPr>
  </w:style>
  <w:style w:type="character" w:styleId="HeaderChar" w:customStyle="1">
    <w:name w:val="Header Char"/>
    <w:basedOn w:val="DefaultParagraphFont"/>
    <w:link w:val="Header"/>
    <w:uiPriority w:val="99"/>
    <w:rsid w:val="00B67447"/>
    <w:rPr>
      <w:rFonts w:ascii="Times New Roman" w:cs="Times New Roman" w:eastAsia="Times New Roman" w:hAnsi="Times New Roman"/>
    </w:rPr>
  </w:style>
  <w:style w:type="paragraph" w:styleId="Footer">
    <w:name w:val="footer"/>
    <w:basedOn w:val="Normal"/>
    <w:link w:val="FooterChar"/>
    <w:uiPriority w:val="99"/>
    <w:unhideWhenUsed w:val="1"/>
    <w:rsid w:val="00B67447"/>
    <w:pPr>
      <w:tabs>
        <w:tab w:val="center" w:pos="4680"/>
        <w:tab w:val="right" w:pos="9360"/>
      </w:tabs>
    </w:pPr>
  </w:style>
  <w:style w:type="character" w:styleId="FooterChar" w:customStyle="1">
    <w:name w:val="Footer Char"/>
    <w:basedOn w:val="DefaultParagraphFont"/>
    <w:link w:val="Footer"/>
    <w:uiPriority w:val="99"/>
    <w:rsid w:val="00B67447"/>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B6744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cvFL6TBYeA6p32j+7nacukQzLg==">CgMxLjA4AHIhMTRmYUtrSE1zSDROS1pjVUJxbXBqd3FWdWQ0bVJrRTNf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2022-02-02T02:51:00Z</dcterms:created>
  <dc:creator>t.hsd.anelson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Microsoft® Word for Microsoft 365</vt:lpwstr>
  </property>
  <property fmtid="{D5CDD505-2E9C-101B-9397-08002B2CF9AE}" pid="4" name="LastSaved">
    <vt:filetime>2022-02-02T00:00:00Z</vt:filetime>
  </property>
  <property fmtid="{D5CDD505-2E9C-101B-9397-08002B2CF9AE}" pid="5" name="LastSaved">
    <vt:lpwstr>2022-02-02T00:00:00Z</vt:lpwstr>
  </property>
  <property fmtid="{D5CDD505-2E9C-101B-9397-08002B2CF9AE}" pid="6" name="Creator">
    <vt:lpwstr>Microsoft® Word for Microsoft 365</vt:lpwstr>
  </property>
  <property fmtid="{D5CDD505-2E9C-101B-9397-08002B2CF9AE}" pid="7" name="Created">
    <vt:lpwstr>2021-02-04T00:00:00Z</vt:lpwstr>
  </property>
</Properties>
</file>