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eg2y5oyfqiwe" w:id="0"/>
      <w:bookmarkEnd w:id="0"/>
      <w:r w:rsidDel="00000000" w:rsidR="00000000" w:rsidRPr="00000000">
        <w:rPr>
          <w:rFonts w:ascii="Times New Roman" w:cs="Times New Roman" w:eastAsia="Times New Roman" w:hAnsi="Times New Roman"/>
          <w:b w:val="1"/>
          <w:bCs w:val="1"/>
          <w:sz w:val="34"/>
          <w:szCs w:val="34"/>
          <w:rtl w:val="0"/>
        </w:rPr>
        <w:t xml:space="preserve">CHAPTER 5</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5br30dvvy052" w:id="1"/>
      <w:bookmarkEnd w:id="1"/>
      <w:r w:rsidDel="00000000" w:rsidR="00000000" w:rsidRPr="00000000">
        <w:rPr>
          <w:rFonts w:ascii="Times New Roman" w:cs="Times New Roman" w:eastAsia="Times New Roman" w:hAnsi="Times New Roman"/>
          <w:b w:val="1"/>
          <w:bCs w:val="1"/>
          <w:sz w:val="34"/>
          <w:szCs w:val="34"/>
          <w:rtl w:val="0"/>
        </w:rPr>
        <w:t xml:space="preserve">SYSTEM IMPLEMENTATION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gx6dejqm2zg" w:id="2"/>
      <w:bookmarkEnd w:id="2"/>
      <w:r w:rsidDel="00000000" w:rsidR="00000000" w:rsidRPr="00000000">
        <w:rPr>
          <w:rFonts w:ascii="Times New Roman" w:cs="Times New Roman" w:eastAsia="Times New Roman" w:hAnsi="Times New Roman"/>
          <w:b w:val="1"/>
          <w:bCs w:val="1"/>
          <w:sz w:val="34"/>
          <w:szCs w:val="34"/>
          <w:rtl w:val="0"/>
        </w:rPr>
        <w:t xml:space="preserve">5.1 Introduction and System Architecture Overview</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represents the practical realization of the proposed architecture and design requirements of the Threat Intelligence-Based Security Application (TIBSA). The primary objective of this phase was to transform the conceptual framework into a fully operational cybersecurity platform capable of integrating threat modeling, website penetration testing, malware investigation, and threat intelligence enrichment within a unified environment. Unlike conventional security tools that operate independently, TIBSA combines multiple analytical capabilities into a centralized platform designed to support continuous monitoring and intelligent security assessment.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follows a decoupled multi-tier architecture to ensure scalability, maintainability, and flexibility. The architecture consists of four major layers: the presentation layer, the application layer, the persistence layer, and the analysis layer. Each layer performs specific responsibilities while maintaining interoperability through well-defined interfaces.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is implemented using Next.js 14 and React 19, providing an interactive dashboard-oriented interface that centralizes access to all system functionalities. The application layer is developed using FastAPI and acts as the main orchestration component responsible for coordinating analytical workflows and integrating external services. Data storage and authentication are handled by Supabase PostgreSQL and Supabase Authentication services. The analysis layer contains specialized engines responsible for threat modeling, vulnerability assessment, malware analysis, and threat intelligence correlation.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performance and responsiveness, asynchronous execution mechanisms based on Python asyncio are employed throughout the platform. This design enables multiple operations to execute concurrently, thereby reducing processing time and improving scalability.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rkqya4el5ok" w:id="3"/>
      <w:bookmarkEnd w:id="3"/>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56scni4zqnb" w:id="4"/>
      <w:bookmarkEnd w:id="4"/>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mcy8yqspakw" w:id="5"/>
      <w:bookmarkEnd w:id="5"/>
      <w:r w:rsidDel="00000000" w:rsidR="00000000" w:rsidRPr="00000000">
        <w:rPr>
          <w:rFonts w:ascii="Times New Roman" w:cs="Times New Roman" w:eastAsia="Times New Roman" w:hAnsi="Times New Roman"/>
          <w:b w:val="1"/>
          <w:bCs w:val="1"/>
          <w:sz w:val="34"/>
          <w:szCs w:val="34"/>
          <w:rtl w:val="0"/>
        </w:rPr>
        <w:t xml:space="preserve">5.2 Backend Implementation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layer represents the central processing component of the platform. It is implemented using Python 3.10 and the FastAPI framework due to their high performance, asynchronous capabilities, and support for automatic API documentation generation.</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adopts a service-oriented architecture that separates API controllers from business logic components. This design improves maintainability and simplifies future system extensions. Incoming requests are handled by routers, while computational operations are delegated to specialized services.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routers layer contains endpoints responsible for authentication, user management, website scanning, malware investigation, administration, and threat modeling. Each router communicates with corresponding service modules that encapsulate the business logic required to perform analytical tasks.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services layer contains the primary analytical engines of the platform. These components include penetration testing modules, malware analysis services, machine learning engines, orchestration mechanisms, and threat intelligence processors. Such separation reduces coupling between components and enhances modularity.</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and response serialization are implemented using Pydantic schemas. These schemas provide strict type checking and ensure consistency across API boundaries. Dependency injection mechanisms provided by FastAPI simplify database access and user context management while improving code reusability.</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is performed using JSON Web Tokens issued by Supabase Authentication. Protected endpoints verify token validity before granting access to resources. Role-based access control mechanisms are also employed to restrict administrative operations.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maximize performance, asynchronous execution is extensively utilized throughout the backend infrastructure. Long-running operations such as malware analysis and penetration testing are executed concurrently whenever possible. On Windows environments, the application explicitly configures the Windows Proactor Event Loop Policy to ensure compatibility between asynchronous subprocesses and browser automation frameworks.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exposes RESTful APIs that provide functionalities related to user authentication, website assessment, malware investigation, threat modeling, and dashboard statistics. Automatic OpenAPI documentation generated by FastAPI facilitates testing and simplifies future integration efforts.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llvbdi04mxe" w:id="6"/>
      <w:bookmarkEnd w:id="6"/>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xffengdq1tp" w:id="7"/>
      <w:bookmarkEnd w:id="7"/>
      <w:r w:rsidDel="00000000" w:rsidR="00000000" w:rsidRPr="00000000">
        <w:rPr>
          <w:rFonts w:ascii="Times New Roman" w:cs="Times New Roman" w:eastAsia="Times New Roman" w:hAnsi="Times New Roman"/>
          <w:b w:val="1"/>
          <w:bCs w:val="1"/>
          <w:sz w:val="34"/>
          <w:szCs w:val="34"/>
          <w:rtl w:val="0"/>
        </w:rPr>
        <w:t xml:space="preserve">5.3 Threat Modeling Engine Implementation</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modeling subsystem enables proactive identification of security weaknesses during the system design phase. The implementation follows a deterministic rule-based approach inspired by the STRIDE methodology. Instead of relying solely on dynamic analysis, the engine evaluates architectural characteristics supplied by users to identify potential attack vectors and security concerns.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parameters include deployment environments, communication protocols, databases, authentication mechanisms, and application types. These architectural attributes are evaluated against predefined security rules to determine possible threats associated with the system design.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categorizes findings according to the six STRIDE categories: Spoofing, Tampering, Repudiation, Information Disclosure, Denial of Service, and Elevation of Privilege. Whenever specific conditions are satisfied, corresponding threats are generated and included in the assessment results.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use of certain databases may introduce injection-related risks, whereas inadequate authentication mechanisms may increase the likelihood of privilege escalation attacks. Such rules are implemented using deterministic conditional logic to ensure consistent outputs.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the overall architecture risk, severity scores are assigned to each finding. Critical threats contribute twenty-five points, high-severity findings contribute fifteen points, medium-severity findings contribute eight points, and low-severity findings contribute three points. The accumulated score is normalized to generate the final risk score.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identifying threats, the subsystem generates summaries and mitigation recommendations to improve users' understanding of architectural weaknesses. This functionality enables organizations to address vulnerabilities during early development stages and reduce security risks before deployment.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5n5uerla8gh" w:id="8"/>
      <w:bookmarkEnd w:id="8"/>
      <w:r w:rsidDel="00000000" w:rsidR="00000000" w:rsidRPr="00000000">
        <w:rPr>
          <w:rFonts w:ascii="Times New Roman" w:cs="Times New Roman" w:eastAsia="Times New Roman" w:hAnsi="Times New Roman"/>
          <w:b w:val="1"/>
          <w:bCs w:val="1"/>
          <w:sz w:val="34"/>
          <w:szCs w:val="34"/>
          <w:rtl w:val="0"/>
        </w:rPr>
        <w:t xml:space="preserve">5.3.1 STRIDE-Based Analysis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rule engine maps architectural characteristics to STRIDE categories and evaluates security controls according to predefined conditions. This deterministic approach ensures reproducible assessments and minimizes inconsistencies in generated findings.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fxwv4gqaf67" w:id="9"/>
      <w:bookmarkEnd w:id="9"/>
      <w:r w:rsidDel="00000000" w:rsidR="00000000" w:rsidRPr="00000000">
        <w:rPr>
          <w:rFonts w:ascii="Times New Roman" w:cs="Times New Roman" w:eastAsia="Times New Roman" w:hAnsi="Times New Roman"/>
          <w:b w:val="1"/>
          <w:bCs w:val="1"/>
          <w:sz w:val="34"/>
          <w:szCs w:val="34"/>
          <w:rtl w:val="0"/>
        </w:rPr>
        <w:t xml:space="preserve">5.3.2 Risk Scoring Mechanism</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levels are translated into numerical values that contribute to the overall architecture risk score. This quantitative approach enables users to prioritize mitigation efforts according to the significance of identified threats.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wl4pqkehzjn" w:id="10"/>
      <w:bookmarkEnd w:id="10"/>
      <w:r w:rsidDel="00000000" w:rsidR="00000000" w:rsidRPr="00000000">
        <w:rPr>
          <w:rFonts w:ascii="Times New Roman" w:cs="Times New Roman" w:eastAsia="Times New Roman" w:hAnsi="Times New Roman"/>
          <w:b w:val="1"/>
          <w:bCs w:val="1"/>
          <w:sz w:val="34"/>
          <w:szCs w:val="34"/>
          <w:rtl w:val="0"/>
        </w:rPr>
        <w:t xml:space="preserve">5.4 Website Penetration Testing Engine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penetration testing subsystem is designed as an asynchronous orchestration framework intended to automate vulnerability assessment processes. The entire workflow is managed by the Pentest Orchestrator, which coordinates multiple phases and ensures efficient execution of security modules.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process begins with an authentication phase that attempts to establish authenticated sessions and capture cookies whenever credentials are available. Authenticated scanning enables the platform to evaluate protected areas of web applications and increases assessment coverage.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authentication, an endpoint discovery phase is initiated. The crawler traverses pages and extracts links, forms, and accessible resources to identify the attack surface exposed by the target application. Additional resources such as JavaScript files are also collected for further analysis.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fingerprinting mechanisms analyze HTTP headers and page contents to determine the underlying technology stack. Information regarding frameworks and web technologies assists the system in performing targeted vulnerability assessments.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exploitation phase executes multiple scanners concurrently using Python asyncio. This parallel execution significantly reduces scanning time and improves overall efficiency. Each scanner focuses on a particular category of vulnerabilities and produces structured outputs that are normalized during post-processing.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removes duplicate findings and filters unnecessary alerts to improve report readability and reduce noise.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hl8mlbv9931" w:id="11"/>
      <w:bookmarkEnd w:id="11"/>
      <w:r w:rsidDel="00000000" w:rsidR="00000000" w:rsidRPr="00000000">
        <w:rPr>
          <w:rFonts w:ascii="Times New Roman" w:cs="Times New Roman" w:eastAsia="Times New Roman" w:hAnsi="Times New Roman"/>
          <w:b w:val="1"/>
          <w:bCs w:val="1"/>
          <w:sz w:val="34"/>
          <w:szCs w:val="34"/>
          <w:rtl w:val="0"/>
        </w:rPr>
        <w:t xml:space="preserve">5.4.1 Cross-Site Scripting Detection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XSS scanner analyzes user-controllable inputs and injects predefined payloads to determine whether malicious scripts can be reflected or executed. In safe mode, the scanner performs reflection analysis, while aggressive mode utilizes Playwright to verify JavaScript execution within a browser environment.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dwl8s8h9go7" w:id="12"/>
      <w:bookmarkEnd w:id="12"/>
      <w:r w:rsidDel="00000000" w:rsidR="00000000" w:rsidRPr="00000000">
        <w:rPr>
          <w:rFonts w:ascii="Times New Roman" w:cs="Times New Roman" w:eastAsia="Times New Roman" w:hAnsi="Times New Roman"/>
          <w:b w:val="1"/>
          <w:bCs w:val="1"/>
          <w:sz w:val="34"/>
          <w:szCs w:val="34"/>
          <w:rtl w:val="0"/>
        </w:rPr>
        <w:t xml:space="preserve">5.4.2 SQL Injection Detection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SQL injection scanner evaluates parameters for potential database manipulation vulnerabilities. Responses generated by injected payloads are analyzed to identify abnormal behavior and database-related errors that indicate possible injection weaknesses.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n5q4jlx2fwd" w:id="13"/>
      <w:bookmarkEnd w:id="13"/>
      <w:r w:rsidDel="00000000" w:rsidR="00000000" w:rsidRPr="00000000">
        <w:rPr>
          <w:rFonts w:ascii="Times New Roman" w:cs="Times New Roman" w:eastAsia="Times New Roman" w:hAnsi="Times New Roman"/>
          <w:b w:val="1"/>
          <w:bCs w:val="1"/>
          <w:sz w:val="34"/>
          <w:szCs w:val="34"/>
          <w:rtl w:val="0"/>
        </w:rPr>
        <w:t xml:space="preserve">5.4.3 Broken Access Control Detection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access control testing attempts to manipulate identifiers and resources to determine whether unauthorized access is possible. Privilege violations and insufficient authorization mechanisms are reported whenever access restrictions are bypassed.</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dapv6fj3trmw" w:id="14"/>
      <w:bookmarkEnd w:id="14"/>
      <w:r w:rsidDel="00000000" w:rsidR="00000000" w:rsidRPr="00000000">
        <w:rPr>
          <w:rFonts w:ascii="Times New Roman" w:cs="Times New Roman" w:eastAsia="Times New Roman" w:hAnsi="Times New Roman"/>
          <w:b w:val="1"/>
          <w:bCs w:val="1"/>
          <w:color w:val="000000"/>
          <w:sz w:val="34"/>
          <w:szCs w:val="34"/>
          <w:rtl w:val="0"/>
        </w:rPr>
        <w:t xml:space="preserve">5.4.4 Endpoint Discovery</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authentication, the platform initiates an endpoint discovery phase to identify accessible resources and expand the attack surface under investigation. The crawler traverses application pages and extracts links, forms, and JavaScript resources that may expose hidden functionalities or vulnerable parameters.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automatically enumerating reachable endpoints, the platform increases assessment coverage and ensures that subsequent scanning modules operate on a comprehensive and representative set of targets.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fp6tnqvsjfhe" w:id="15"/>
      <w:bookmarkEnd w:id="15"/>
      <w:r w:rsidDel="00000000" w:rsidR="00000000" w:rsidRPr="00000000">
        <w:rPr>
          <w:rFonts w:ascii="Times New Roman" w:cs="Times New Roman" w:eastAsia="Times New Roman" w:hAnsi="Times New Roman"/>
          <w:b w:val="1"/>
          <w:bCs w:val="1"/>
          <w:color w:val="000000"/>
          <w:sz w:val="34"/>
          <w:szCs w:val="34"/>
          <w:rtl w:val="0"/>
        </w:rPr>
        <w:t xml:space="preserve">5.4.5 Technology Fingerprinting</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fingerprinting mechanisms analyze HTTP headers and page content in order to identify the underlying technologies used by the target application. This includes frameworks, libraries, and server-side components that define the application’s technology stack.</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metadata is utilized to tailor scanning strategies according to the detected technologies, thereby improving detection accuracy and enhancing the relevance of generated findings.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qceyjejy8lc" w:id="16"/>
      <w:bookmarkEnd w:id="16"/>
      <w:r w:rsidDel="00000000" w:rsidR="00000000" w:rsidRPr="00000000">
        <w:rPr>
          <w:rFonts w:ascii="Times New Roman" w:cs="Times New Roman" w:eastAsia="Times New Roman" w:hAnsi="Times New Roman"/>
          <w:b w:val="1"/>
          <w:bCs w:val="1"/>
          <w:sz w:val="34"/>
          <w:szCs w:val="34"/>
          <w:rtl w:val="0"/>
        </w:rPr>
        <w:t xml:space="preserve">5.4.6 Finding Normalization</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vulnerability assessment is completed, the generated findings are processed through a normalization stage responsible for removing duplicates and standardizing severity levels. This procedure improves readability and facilitates subsequent risk evaluation processes.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o96n1w81ms3" w:id="17"/>
      <w:bookmarkEnd w:id="17"/>
      <w:r w:rsidDel="00000000" w:rsidR="00000000" w:rsidRPr="00000000">
        <w:rPr>
          <w:rFonts w:ascii="Times New Roman" w:cs="Times New Roman" w:eastAsia="Times New Roman" w:hAnsi="Times New Roman"/>
          <w:b w:val="1"/>
          <w:bCs w:val="1"/>
          <w:sz w:val="34"/>
          <w:szCs w:val="34"/>
          <w:rtl w:val="0"/>
        </w:rPr>
        <w:t xml:space="preserve">5.5 AI-Powered Malware Analysis Pipeline</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malware analysis subsystem represents one of the primary analytical components of the platform. Its objective is to investigate suspicious files through multiple complementary techniques while maintaining isolation from the host operating system. The implementation combines static analysis, signature-based detection, and capability extraction techniques to provide a comprehensive understanding of file behavior. These complementary approaches enable the system to investigate suspicious files without executing them directly and provide valuable insights regarding their internal structure and potential malicious capabilities. </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files are received through FastAPI endpoints and processed within isolated Docker environments. Temporary volumes are dynamically created to securely transfer files to analysis containers while preventing direct interaction with the host system. This approach minimizes the risks associated with handling potentially malicious samples and improves operational safety.</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detection accuracy, multiple analysis engines are executed concurrently. Each engine performs an independent assessment and generates structured outputs that are subsequently aggregated into a unified representation. Resource consumption is controlled through concurrency limits to maintain system stability and prevent excessive memory utilization.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r76o5qwjfya" w:id="18"/>
      <w:bookmarkEnd w:id="18"/>
      <w:r w:rsidDel="00000000" w:rsidR="00000000" w:rsidRPr="00000000">
        <w:rPr>
          <w:rFonts w:ascii="Times New Roman" w:cs="Times New Roman" w:eastAsia="Times New Roman" w:hAnsi="Times New Roman"/>
          <w:b w:val="1"/>
          <w:bCs w:val="1"/>
          <w:sz w:val="34"/>
          <w:szCs w:val="34"/>
          <w:rtl w:val="0"/>
        </w:rPr>
        <w:t xml:space="preserve">5.5.1 Static Analysis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analysis is performed without executing the binary. The PEFile library is utilized to extract metadata from Portable Executable files, including headers, imported libraries, sections, and timestamps. These characteristics provide valuable information regarding suspicious behavior and help identify malicious indicators.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process enables investigators to understand the internal structure of executable files while avoiding the risks associated with dynamic execution. Information obtained during this stage contributes to the overall risk evaluation process.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34pdlf0ja9" w:id="19"/>
      <w:bookmarkEnd w:id="19"/>
      <w:r w:rsidDel="00000000" w:rsidR="00000000" w:rsidRPr="00000000">
        <w:rPr>
          <w:rFonts w:ascii="Times New Roman" w:cs="Times New Roman" w:eastAsia="Times New Roman" w:hAnsi="Times New Roman"/>
          <w:b w:val="1"/>
          <w:bCs w:val="1"/>
          <w:color w:val="000000"/>
          <w:sz w:val="26"/>
          <w:szCs w:val="26"/>
          <w:rtl w:val="0"/>
        </w:rPr>
        <w:t xml:space="preserve">5.5.2 Multi-Engine Antivirus Analysis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employs multiple antivirus engines to improve detection reliability and increase confidence in the generated results. Each engine independently evaluates uploaded samples and returns its findings in a structured format. By combining the outputs of multiple scanners, the platform reduces dependency on a single detection mechanism and enhances the robustness of malware investigations.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performance, analysis engines are executed concurrently. However, unrestricted execution of multiple containers may lead to excessive resource consumption. Therefore, asynchronous semaphore mechanisms are utilized to limit the maximum number of simultaneously running analysis containers. This approach prevents memory exhaustion, improves scalability, and ensures stable operation under heavy workloads.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analysis containers operate within isolated environments with restricted permissions and disabled network connectivity. Files are mounted in read-only mode to prevent modifications and protect the host operating system from compromise. Such isolation mechanisms provide an additional layer of security and minimize the risks associated with handling potentially malicious samples.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jo4doytsz9l" w:id="20"/>
      <w:bookmarkEnd w:id="20"/>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0che23ttkkm" w:id="21"/>
      <w:bookmarkEnd w:id="21"/>
      <w:r w:rsidDel="00000000" w:rsidR="00000000" w:rsidRPr="00000000">
        <w:rPr>
          <w:rFonts w:ascii="Times New Roman" w:cs="Times New Roman" w:eastAsia="Times New Roman" w:hAnsi="Times New Roman"/>
          <w:b w:val="1"/>
          <w:bCs w:val="1"/>
          <w:sz w:val="34"/>
          <w:szCs w:val="34"/>
          <w:rtl w:val="0"/>
        </w:rPr>
        <w:t xml:space="preserve">5.5.5 Result Aggregation</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generated by antivirus engines, YARA analysis, and CAPA are collected and normalized before being forwarded to higher-level components. Aggregation mechanisms provide a unified representation of findings and simplify subsequent processing stages.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information serves as the basis for threat intelligence enrichment and overall risk assessment, enabling investigators to obtain a comprehensive view of malicious activities associated with analyzed samples.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artificial intelligence does not constitute a core analytical component, it is employed as a supporting mechanism to improve the readability and interpretation of investigation results. Following the completion of malware analysis, outputs generated by antivirus engines, YARA rules, and CAPA capability extraction are aggregated and transformed into a structured context.</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aggregated findings are supplied to Google Gemini 2.5 Flash through carefully designed prompts that enforce predefined output structures. To ensure consistency and reliability, responses are constrained using JSON schemas and subsequently validated before being presented to users.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enables the platform to generate executive summaries and investigation reports that assist analysts in understanding complex technical findings. Since artificial intelligence is utilized solely for interpretation purposes, deterministic analytical mechanisms remain responsible for the actual detection and assessment processes.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77mp5p1w2pi" w:id="22"/>
      <w:bookmarkEnd w:id="22"/>
      <w:r w:rsidDel="00000000" w:rsidR="00000000" w:rsidRPr="00000000">
        <w:rPr>
          <w:rFonts w:ascii="Times New Roman" w:cs="Times New Roman" w:eastAsia="Times New Roman" w:hAnsi="Times New Roman"/>
          <w:b w:val="1"/>
          <w:bCs w:val="1"/>
          <w:sz w:val="34"/>
          <w:szCs w:val="34"/>
          <w:rtl w:val="0"/>
        </w:rPr>
        <w:t xml:space="preserve">5.6 Machine Learning Implementation</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techniques are incorporated into the platform to support phishing URL detection. The implementation relies on the Random Forest algorithm due to its robustness and effectiveness in classification problems.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focuses primarily on URL analysis. Feature extraction mechanisms generate numerical representations that capture lexical characteristics commonly associated with phishing attacks. These characteristics are subsequently utilized by the classifier to estimate the probability of malicious behavior.</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sq2y6zidztl" w:id="23"/>
      <w:bookmarkEnd w:id="23"/>
      <w:r w:rsidDel="00000000" w:rsidR="00000000" w:rsidRPr="00000000">
        <w:rPr>
          <w:rFonts w:ascii="Times New Roman" w:cs="Times New Roman" w:eastAsia="Times New Roman" w:hAnsi="Times New Roman"/>
          <w:b w:val="1"/>
          <w:bCs w:val="1"/>
          <w:sz w:val="34"/>
          <w:szCs w:val="34"/>
          <w:rtl w:val="0"/>
        </w:rPr>
        <w:t xml:space="preserve">5.6.1 Feature Extraction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classification, URLs are processed through a dedicated feature extraction module responsible for generating numerical attributes suitable for machine learning models. Extracted features include entropy values, URL length, and the distribution of characters and symbols.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capture structural properties that distinguish legitimate URLs from malicious ones. By transforming URLs into numerical representations, the platform enables efficient classification and improves detection performance.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28hdawdxc1j" w:id="24"/>
      <w:bookmarkEnd w:id="24"/>
      <w:r w:rsidDel="00000000" w:rsidR="00000000" w:rsidRPr="00000000">
        <w:rPr>
          <w:rFonts w:ascii="Times New Roman" w:cs="Times New Roman" w:eastAsia="Times New Roman" w:hAnsi="Times New Roman"/>
          <w:b w:val="1"/>
          <w:bCs w:val="1"/>
          <w:sz w:val="34"/>
          <w:szCs w:val="34"/>
          <w:rtl w:val="0"/>
        </w:rPr>
        <w:t xml:space="preserve">5.6.2 Prediction Process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features are normalized using a StandardScaler model before being supplied to the Random Forest classifier. The model produces probability values representing the likelihood that a URL is malicious.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confidence values contribute to the overall risk assessment process and provide additional evidence during security investigations. Machine learning predictions complement traditional analytical mechanisms and enhance detection capabilities.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jml5medrzed" w:id="25"/>
      <w:bookmarkEnd w:id="25"/>
      <w:r w:rsidDel="00000000" w:rsidR="00000000" w:rsidRPr="00000000">
        <w:rPr>
          <w:rFonts w:ascii="Times New Roman" w:cs="Times New Roman" w:eastAsia="Times New Roman" w:hAnsi="Times New Roman"/>
          <w:b w:val="1"/>
          <w:bCs w:val="1"/>
          <w:sz w:val="34"/>
          <w:szCs w:val="34"/>
          <w:rtl w:val="0"/>
        </w:rPr>
        <w:t xml:space="preserve">5.7 Threat Intelligence Implementation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intelligence subsystem enriches analytical findings using external Open-Source Intelligence (OSINT) providers. Its objective is to provide additional context regarding suspicious indicators and improve the accuracy of risk assessments.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integrates VirusTotal and AlienVault OTX services. Asynchronous HTTP requests are issued to both providers to minimize latency and improve efficiency. Information obtained from these sources includes reputation scores, malicious detections, and threat intelligence pulses associated with investigated indicators.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intelligence enrichment begins, indicators are extracted and normalized to ensure consistent formatting. This process prevents duplicate requests and simplifies subsequent correlation procedures.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98pm5mxwayt" w:id="26"/>
      <w:bookmarkEnd w:id="26"/>
      <w:r w:rsidDel="00000000" w:rsidR="00000000" w:rsidRPr="00000000">
        <w:rPr>
          <w:rFonts w:ascii="Times New Roman" w:cs="Times New Roman" w:eastAsia="Times New Roman" w:hAnsi="Times New Roman"/>
          <w:b w:val="1"/>
          <w:bCs w:val="1"/>
          <w:sz w:val="34"/>
          <w:szCs w:val="34"/>
          <w:rtl w:val="0"/>
        </w:rPr>
        <w:t xml:space="preserve">5.7.1 Indicator Extraction</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Indicators of compromise are automatically extracted from analytical findings generated by various modules. Supported indicators include IP addresses, URLs, domains, and cryptographic hashes.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indicators are normalized and prepared for external intelligence queries. Standardization mechanisms ensure consistency and facilitate efficient correlation across multiple intelligence providers.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5k5urifrb6x" w:id="27"/>
      <w:bookmarkEnd w:id="27"/>
      <w:r w:rsidDel="00000000" w:rsidR="00000000" w:rsidRPr="00000000">
        <w:rPr>
          <w:rFonts w:ascii="Times New Roman" w:cs="Times New Roman" w:eastAsia="Times New Roman" w:hAnsi="Times New Roman"/>
          <w:b w:val="1"/>
          <w:bCs w:val="1"/>
          <w:color w:val="000000"/>
          <w:sz w:val="26"/>
          <w:szCs w:val="26"/>
          <w:rtl w:val="0"/>
        </w:rPr>
        <w:t xml:space="preserve">5.7.2 Threat Correlation</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correlation mechanisms aggregate information collected from multiple external intelligence services to determine the confidence level associated with suspicious indicators. The correlation engine combines data from different intelligence providers in order to reduce false positives and improve the overall reliability of threat assessment.</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implemented correlation framework, indicators are evaluated based on both detection consensus and contextual intelligence. An indicator is classified as a confirmed threat when the number of malicious detections reported by VirusTotal exceeds a predefined threshold, and at least one supporting threat intelligence pulse is available from AlienVault OTX. This multi-source verification strategy ensures that isolated or weak signals are not overvalued, while indicators corroborated across multiple sources are given higher confidence scores.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Indicators associated with multiple detections and enriched with existing threat intelligence records are considered more reliable than standalone observations. This additional contextual correlation improves analytical accuracy, enhances situational awareness, and assists security analysts in prioritizing threats and making more informed decisions within the system.</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lwjzsl893qs" w:id="28"/>
      <w:bookmarkEnd w:id="28"/>
      <w:r w:rsidDel="00000000" w:rsidR="00000000" w:rsidRPr="00000000">
        <w:rPr>
          <w:rFonts w:ascii="Times New Roman" w:cs="Times New Roman" w:eastAsia="Times New Roman" w:hAnsi="Times New Roman"/>
          <w:b w:val="1"/>
          <w:bCs w:val="1"/>
          <w:sz w:val="34"/>
          <w:szCs w:val="34"/>
          <w:rtl w:val="0"/>
        </w:rPr>
        <w:t xml:space="preserve">5.7.3 Risk Evaluation</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enriched intelligence information contributes to the overall risk assessment process. Confidence scores generated during correlation are utilized to distinguish between isolated anomalies and confirmed threats.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information from multiple intelligence sources, the platform enhances contextual awareness and provides more reliable security insights compared with isolated analysis mechanisms.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6152spy2jwk" w:id="29"/>
      <w:bookmarkEnd w:id="29"/>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9rnhaozym6r" w:id="30"/>
      <w:bookmarkEnd w:id="30"/>
      <w:r w:rsidDel="00000000" w:rsidR="00000000" w:rsidRPr="00000000">
        <w:rPr>
          <w:rFonts w:ascii="Times New Roman" w:cs="Times New Roman" w:eastAsia="Times New Roman" w:hAnsi="Times New Roman"/>
          <w:b w:val="1"/>
          <w:bCs w:val="1"/>
          <w:sz w:val="34"/>
          <w:szCs w:val="34"/>
          <w:rtl w:val="0"/>
        </w:rPr>
        <w:t xml:space="preserve">5.8 Security Architecture</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mechanisms are integrated throughout the platform following a defense-in-depth strategy to ensure confidentiality, integrity, and availability. Authentication is handled through Supabase Authentication using JSON Web Tokens (JWT), enabling secure access to protected resources. Incoming requests are validated before processing to ensure that only authorized users can interact with sensitive functionalities.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mechanisms are implemented to restrict privileged operations and separate administrative functions from regular user activities. User permissions are verified before granting access to protected endpoints, thereby reducing the possibility of unauthorized actions.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middleware components automatically inject several HTTP security headers to mitigate common web attacks. These headers include Content Security Policy (CSP), HTTP Strict Transport Security (HSTS), and X-Frame-Options. Such mechanisms strengthen browser-side security and reduce exposure to clickjacking and content injection attacks.</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rate limiting mechanisms are employed to protect backend resources from abuse and denial-of-service attempts. By regulating incoming traffic, the platform prevents excessive resource consumption and improves service availability.</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is enforced using Pydantic schemas. Strict validation procedures ensure data consistency and minimize the risks associated with malformed requests and unexpected inputs.</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safely investigate suspicious files, malware analysis operations are executed inside isolated Docker containers configured with restricted privileges and disabled network connectivity. This isolation strategy prevents malicious samples from affecting the host environment and provides an additional layer of protection.</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hn38bmoqm11" w:id="31"/>
      <w:bookmarkEnd w:id="31"/>
      <w:r w:rsidDel="00000000" w:rsidR="00000000" w:rsidRPr="00000000">
        <w:rPr>
          <w:rFonts w:ascii="Times New Roman" w:cs="Times New Roman" w:eastAsia="Times New Roman" w:hAnsi="Times New Roman"/>
          <w:b w:val="1"/>
          <w:bCs w:val="1"/>
          <w:sz w:val="34"/>
          <w:szCs w:val="34"/>
          <w:rtl w:val="0"/>
        </w:rPr>
        <w:t xml:space="preserve">5.8.1 Authentication and Authorization</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relies on JWT tokens issued by Supabase services. Protected endpoints validate tokens before processing requests, while role-based access control mechanisms ensure that privileged operations remain accessible only to authorized users.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71swicoihbz" w:id="32"/>
      <w:bookmarkEnd w:id="32"/>
      <w:r w:rsidDel="00000000" w:rsidR="00000000" w:rsidRPr="00000000">
        <w:rPr>
          <w:rFonts w:ascii="Times New Roman" w:cs="Times New Roman" w:eastAsia="Times New Roman" w:hAnsi="Times New Roman"/>
          <w:b w:val="1"/>
          <w:bCs w:val="1"/>
          <w:sz w:val="34"/>
          <w:szCs w:val="34"/>
          <w:rtl w:val="0"/>
        </w:rPr>
        <w:t xml:space="preserve">5.8.2 Security Headers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middleware injects multiple protective headers to strengthen web security. These mechanisms provide protection against clickjacking attacks, malicious content injection, and insecure communications.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djx867ydpmy" w:id="33"/>
      <w:bookmarkEnd w:id="33"/>
      <w:r w:rsidDel="00000000" w:rsidR="00000000" w:rsidRPr="00000000">
        <w:rPr>
          <w:rFonts w:ascii="Times New Roman" w:cs="Times New Roman" w:eastAsia="Times New Roman" w:hAnsi="Times New Roman"/>
          <w:b w:val="1"/>
          <w:bCs w:val="1"/>
          <w:sz w:val="34"/>
          <w:szCs w:val="34"/>
          <w:rtl w:val="0"/>
        </w:rPr>
        <w:t xml:space="preserve">5.8.3 Request Rate Limiting</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mechanisms regulate incoming traffic and protect backend services from excessive requests. This approach enhances system availability and minimizes the impact of automated attacks.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6f6nskcwcj3" w:id="34"/>
      <w:bookmarkEnd w:id="34"/>
      <w:r w:rsidDel="00000000" w:rsidR="00000000" w:rsidRPr="00000000">
        <w:rPr>
          <w:rFonts w:ascii="Times New Roman" w:cs="Times New Roman" w:eastAsia="Times New Roman" w:hAnsi="Times New Roman"/>
          <w:b w:val="1"/>
          <w:bCs w:val="1"/>
          <w:sz w:val="34"/>
          <w:szCs w:val="34"/>
          <w:rtl w:val="0"/>
        </w:rPr>
        <w:t xml:space="preserve">5.8.4 Container Isolation</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analysis processes are executed within isolated Docker environments. Network connectivity is disabled and file systems are mounted in read-only mode to prevent malicious samples from interacting with external resources or modifying host files.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a1e9krtm3pe" w:id="35"/>
      <w:bookmarkEnd w:id="35"/>
      <w:r w:rsidDel="00000000" w:rsidR="00000000" w:rsidRPr="00000000">
        <w:rPr>
          <w:rFonts w:ascii="Times New Roman" w:cs="Times New Roman" w:eastAsia="Times New Roman" w:hAnsi="Times New Roman"/>
          <w:b w:val="1"/>
          <w:bCs w:val="1"/>
          <w:sz w:val="34"/>
          <w:szCs w:val="34"/>
          <w:rtl w:val="0"/>
        </w:rPr>
        <w:t xml:space="preserve">5.9 Database Implementation</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 serves as the primary persistence layer of the platform. The database is responsible for storing user information, investigation records, analytical findings, and threat intelligence results generated by various subsystems.</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schema is designed to support flexible storage requirements while maintaining efficient retrieval capabilities. Several entities are interconnected to preserve relationships among users, investigations, and analysis results.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table stores account information, authentication metadata, and user roles. Investigation records maintain information associated with website assessments and malware analysis operations. Additional records preserve threat intelligence findings and historical scan results for future reference.</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accommodate dynamic cybersecurity information, PostgreSQL JSONB fields are extensively utilized. This approach enables the storage of semi-structured outputs generated by scanners without requiring frequent schema modifications. Consequently, the database remains flexible while supporting continuously evolving analytical requirements.</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mechanisms are employed to improve query performance and accelerate access to historical records. Efficient database operations contribute to dashboard responsiveness and enhance the overall user experience.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qf0d66yhz0h" w:id="36"/>
      <w:bookmarkEnd w:id="36"/>
      <w:r w:rsidDel="00000000" w:rsidR="00000000" w:rsidRPr="00000000">
        <w:rPr>
          <w:rFonts w:ascii="Times New Roman" w:cs="Times New Roman" w:eastAsia="Times New Roman" w:hAnsi="Times New Roman"/>
          <w:b w:val="1"/>
          <w:bCs w:val="1"/>
          <w:sz w:val="34"/>
          <w:szCs w:val="34"/>
          <w:rtl w:val="0"/>
        </w:rPr>
        <w:t xml:space="preserve">5.9.1 Data Persistence</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findings generated by different modules are stored to maintain historical information and facilitate future investigations. Persisted records enable users to review previous assessments and monitor security trends over time.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ta4c7jwn4j" w:id="37"/>
      <w:bookmarkEnd w:id="37"/>
      <w:r w:rsidDel="00000000" w:rsidR="00000000" w:rsidRPr="00000000">
        <w:rPr>
          <w:rFonts w:ascii="Times New Roman" w:cs="Times New Roman" w:eastAsia="Times New Roman" w:hAnsi="Times New Roman"/>
          <w:b w:val="1"/>
          <w:bCs w:val="1"/>
          <w:sz w:val="34"/>
          <w:szCs w:val="34"/>
          <w:rtl w:val="0"/>
        </w:rPr>
        <w:t xml:space="preserve">5.9.2 JSONB Storage</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Semi-structured scanner outputs are stored using JSONB columns. This design provides flexibility and simplifies the integration of additional analytical modules without extensive database restructuring.</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mk3uc71o7ni" w:id="38"/>
      <w:bookmarkEnd w:id="38"/>
      <w:r w:rsidDel="00000000" w:rsidR="00000000" w:rsidRPr="00000000">
        <w:rPr>
          <w:rFonts w:ascii="Times New Roman" w:cs="Times New Roman" w:eastAsia="Times New Roman" w:hAnsi="Times New Roman"/>
          <w:b w:val="1"/>
          <w:bCs w:val="1"/>
          <w:sz w:val="34"/>
          <w:szCs w:val="34"/>
          <w:rtl w:val="0"/>
        </w:rPr>
        <w:t xml:space="preserve">5.9.3 Relationship Management</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between users, investigations, and analysis results enable efficient retrieval of historical information and support dashboard visualization requirements.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c1pthzhm8pg" w:id="39"/>
      <w:bookmarkEnd w:id="39"/>
      <w:r w:rsidDel="00000000" w:rsidR="00000000" w:rsidRPr="00000000">
        <w:rPr>
          <w:rFonts w:ascii="Times New Roman" w:cs="Times New Roman" w:eastAsia="Times New Roman" w:hAnsi="Times New Roman"/>
          <w:b w:val="1"/>
          <w:bCs w:val="1"/>
          <w:sz w:val="34"/>
          <w:szCs w:val="34"/>
          <w:rtl w:val="0"/>
        </w:rPr>
        <w:t xml:space="preserve">5.10 Frontend Implementation</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layer is implemented using Next.js 14 and React 19. The application follows a component-based architecture that promotes modularity, maintainability, and reusability while providing a responsive user interface.</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dashboard-oriented design centralizes access to all platform functionalities, allowing users to perform malware investigations, website assessments, threat modeling operations, and threat intelligence analysis through a unified environment.</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states are managed globally using the React Context API. User sessions are synchronized with backend services to maintain secure access throughout the application lifecycle.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frontend components and backend services is performed through authenticated HTTP requests carrying bearer tokens. Responses received from the backend are processed and displayed through interactive user interface components.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Animations and dynamic rendering mechanisms enhance usability and improve the overall user experience. Long-running analytical operations are continuously monitored, allowing users to receive updates as soon as results become available.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1c4oqk6x4mm" w:id="40"/>
      <w:bookmarkEnd w:id="40"/>
      <w:r w:rsidDel="00000000" w:rsidR="00000000" w:rsidRPr="00000000">
        <w:rPr>
          <w:rFonts w:ascii="Times New Roman" w:cs="Times New Roman" w:eastAsia="Times New Roman" w:hAnsi="Times New Roman"/>
          <w:b w:val="1"/>
          <w:bCs w:val="1"/>
          <w:sz w:val="34"/>
          <w:szCs w:val="34"/>
          <w:rtl w:val="0"/>
        </w:rPr>
        <w:t xml:space="preserve">5.10.1 Component-Based Architecture</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consists of reusable components responsible for rendering dashboards, forms, visualizations, and analytical outputs. This design improves maintainability and simplifies future enhancements.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zumkhv8s1vb" w:id="41"/>
      <w:bookmarkEnd w:id="41"/>
      <w:r w:rsidDel="00000000" w:rsidR="00000000" w:rsidRPr="00000000">
        <w:rPr>
          <w:rFonts w:ascii="Times New Roman" w:cs="Times New Roman" w:eastAsia="Times New Roman" w:hAnsi="Times New Roman"/>
          <w:b w:val="1"/>
          <w:bCs w:val="1"/>
          <w:sz w:val="34"/>
          <w:szCs w:val="34"/>
          <w:rtl w:val="0"/>
        </w:rPr>
        <w:t xml:space="preserve">5.10.2 State Management</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session information is managed through the React Context API. This approach enables efficient sharing of authentication states across different pages and components.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lg6pl18snfm" w:id="42"/>
      <w:bookmarkEnd w:id="42"/>
      <w:r w:rsidDel="00000000" w:rsidR="00000000" w:rsidRPr="00000000">
        <w:rPr>
          <w:rFonts w:ascii="Times New Roman" w:cs="Times New Roman" w:eastAsia="Times New Roman" w:hAnsi="Times New Roman"/>
          <w:b w:val="1"/>
          <w:bCs w:val="1"/>
          <w:sz w:val="34"/>
          <w:szCs w:val="34"/>
          <w:rtl w:val="0"/>
        </w:rPr>
        <w:t xml:space="preserve">5.10.3 API Communication</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services communicate with FastAPI endpoints through authenticated requests. The integration layer ensures secure and reliable exchange of information between system components.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y7bp7o5urxx" w:id="43"/>
      <w:bookmarkEnd w:id="43"/>
      <w:r w:rsidDel="00000000" w:rsidR="00000000" w:rsidRPr="00000000">
        <w:rPr>
          <w:rFonts w:ascii="Times New Roman" w:cs="Times New Roman" w:eastAsia="Times New Roman" w:hAnsi="Times New Roman"/>
          <w:b w:val="1"/>
          <w:bCs w:val="1"/>
          <w:sz w:val="34"/>
          <w:szCs w:val="34"/>
          <w:rtl w:val="0"/>
        </w:rPr>
        <w:t xml:space="preserve">5.10.4 Visualization Components</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elements display risk scores, vulnerabilities, and investigation results in a format that facilitates rapid interpretation and supports decision-making.</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9v4805zmqoz" w:id="44"/>
      <w:bookmarkEnd w:id="44"/>
      <w:r w:rsidDel="00000000" w:rsidR="00000000" w:rsidRPr="00000000">
        <w:rPr>
          <w:rFonts w:ascii="Times New Roman" w:cs="Times New Roman" w:eastAsia="Times New Roman" w:hAnsi="Times New Roman"/>
          <w:b w:val="1"/>
          <w:bCs w:val="1"/>
          <w:sz w:val="34"/>
          <w:szCs w:val="34"/>
          <w:rtl w:val="0"/>
        </w:rPr>
        <w:t xml:space="preserve">5.11 Deployment Environment</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architecture separates frontend, backend, database, and analysis components to improve maintainability and scalability. Such separation allows individual subsystems to evolve independently without affecting the overall functionality of the platform.</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application operates independently and communicates with backend APIs through secure channels. The backend hosts analytical engines and coordinates interactions among system components. Supabase provides managed database infrastructure and authentication services.</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containers are utilized to isolate malware analysis workloads and provide secure execution environments. Environment variables are employed to manage API credentials and sensitive configuration parameters while preventing exposure of confidential information.</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modular deployment strategy enables independent scaling and simplifies maintenance procedures. Furthermore, containerized environments improve portability and facilitate deployment across different operating systems.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md178lgrmz3" w:id="45"/>
      <w:bookmarkEnd w:id="45"/>
      <w:r w:rsidDel="00000000" w:rsidR="00000000" w:rsidRPr="00000000">
        <w:rPr>
          <w:rFonts w:ascii="Times New Roman" w:cs="Times New Roman" w:eastAsia="Times New Roman" w:hAnsi="Times New Roman"/>
          <w:b w:val="1"/>
          <w:bCs w:val="1"/>
          <w:sz w:val="34"/>
          <w:szCs w:val="34"/>
          <w:rtl w:val="0"/>
        </w:rPr>
        <w:t xml:space="preserve">5.11.1 Backend Environment</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implemented using Python 3.10 and executed through FastAPI and Uvicorn. Asynchronous mechanisms enable efficient processing of computationally intensive tasks.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cfht5rv1o5y" w:id="46"/>
      <w:bookmarkEnd w:id="46"/>
      <w:r w:rsidDel="00000000" w:rsidR="00000000" w:rsidRPr="00000000">
        <w:rPr>
          <w:rFonts w:ascii="Times New Roman" w:cs="Times New Roman" w:eastAsia="Times New Roman" w:hAnsi="Times New Roman"/>
          <w:b w:val="1"/>
          <w:bCs w:val="1"/>
          <w:sz w:val="34"/>
          <w:szCs w:val="34"/>
          <w:rtl w:val="0"/>
        </w:rPr>
        <w:t xml:space="preserve">5.11.2 Frontend Environment</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layer is developed using Next.js and React and operates independently from backend services. This separation improves maintainability and supports future scalability.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zy6h863hxmw" w:id="47"/>
      <w:bookmarkEnd w:id="47"/>
      <w:r w:rsidDel="00000000" w:rsidR="00000000" w:rsidRPr="00000000">
        <w:rPr>
          <w:rFonts w:ascii="Times New Roman" w:cs="Times New Roman" w:eastAsia="Times New Roman" w:hAnsi="Times New Roman"/>
          <w:b w:val="1"/>
          <w:bCs w:val="1"/>
          <w:sz w:val="34"/>
          <w:szCs w:val="34"/>
          <w:rtl w:val="0"/>
        </w:rPr>
        <w:t xml:space="preserve">5.11.3 Containerized Analysis Environment</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containers provide isolated environments for malware analysis and enhance operational safety. Isolation mechanisms minimize risks associated with handling malicious samples.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u7zpo6o78ya" w:id="48"/>
      <w:bookmarkEnd w:id="48"/>
      <w:r w:rsidDel="00000000" w:rsidR="00000000" w:rsidRPr="00000000">
        <w:rPr>
          <w:rFonts w:ascii="Times New Roman" w:cs="Times New Roman" w:eastAsia="Times New Roman" w:hAnsi="Times New Roman"/>
          <w:b w:val="1"/>
          <w:bCs w:val="1"/>
          <w:color w:val="000000"/>
          <w:sz w:val="26"/>
          <w:szCs w:val="26"/>
          <w:rtl w:val="0"/>
        </w:rPr>
        <w:t xml:space="preserve">5.12 Challenges Encountered During Development</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technical challenges were encountered during the implementation process.</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challenge involved safely handling potentially malicious files. Executing suspicious binaries directly on the host system represented a considerable security risk. This issue was mitigated through Docker-based isolation mechanisms and temporary volume management; however, additional complexity emerged when dealing with systems protected by host-based antivirus solutions. In such environments, uploaded samples were often quarantined or modified before analysis could begin.</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this limitation, an intermediate architecture based on ephemeral Docker volumes and helper containers was introduced. This mechanism ensures that files are transferred into isolated analysis environments without being directly exposed to the host operating system or its security layers. As a result, the platform maintains operational safety while preserving the integrity and reliability of malware analysis workflows.</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involved compatibility issues between asynchronous subprocess execution and browser automation frameworks under Windows environments. This was resolved by explicitly configuring the Windows Proactor Event Loop Policy, enabling stable execution of Playwright-based scanning modules.</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generated by antivirus containers occasionally contained additional logs and warning messages that complicated structured parsing. Custom extraction mechanisms were implemented to isolate valid JSON payloads and ensure consistent processing.</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threat intelligence providers also impose rate limitations that can affect response times. To address this, efficient request scheduling and asynchronous execution strategies were adopted to reduce latency and improve overall performance.</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structured and consistent responses from AI-driven analysis components represented another challenge. This was handled through strict validation rules and enforced JSON formatting constraints to ensure reliable output generation.</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solutions enhanced the system’s robustness, scalability, and security, while ensuring stable operation across diverse execution environments.</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dxv3y73vlox" w:id="49"/>
      <w:bookmarkEnd w:id="49"/>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jgbuc22mboe" w:id="50"/>
      <w:bookmarkEnd w:id="50"/>
      <w:r w:rsidDel="00000000" w:rsidR="00000000" w:rsidRPr="00000000">
        <w:rPr>
          <w:rFonts w:ascii="Times New Roman" w:cs="Times New Roman" w:eastAsia="Times New Roman" w:hAnsi="Times New Roman"/>
          <w:b w:val="1"/>
          <w:bCs w:val="1"/>
          <w:sz w:val="34"/>
          <w:szCs w:val="34"/>
          <w:rtl w:val="0"/>
        </w:rPr>
        <w:t xml:space="preserve">5.13 Chapter Summary</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implementation details of the proposed Threat Intelligence-Based Security Application (TIBSA). The discussion covered the backend architecture, threat modeling engine, penetration testing framework, malware analysis pipeline, machine learning components, threat intelligence mechanisms, database design, frontend implementation, security architecture, and deployment environment.</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adopts a modular service-oriented architecture that combines asynchronous execution, containerized analysis environments, and external intelligence integration to support modern cybersecurity operations. Multiple security mechanisms, including authentication, access control, request validation, and container isolation, were incorporated to ensure secure and reliable operation.</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integration of threat modeling, penetration testing, malware investigation, machine learning techniques, and threat intelligence enrichment, the implemented system provides a unified environment for continuous security assessment and intelligent cyber threat analysis.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