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47"/>
          <w:sz w:val="26"/>
        </w:rPr>
        <w:t>SMART FORMULATOR  |  TASK 1 — PROPERTY GLOSSARY</w:t>
      </w:r>
    </w:p>
    <w:p>
      <w:pPr>
        <w:jc w:val="center"/>
      </w:pPr>
      <w:r>
        <w:rPr>
          <w:i/>
          <w:sz w:val="14"/>
        </w:rPr>
        <w:t>Supplier-datasheet recognition guide  •  Record stated facts only; retain unit, temperature, method, value type, document and page.</w:t>
      </w:r>
    </w:p>
    <w:p>
      <w:pPr>
        <w:jc w:val="center"/>
      </w:pPr>
      <w:r>
        <w:rPr>
          <w:i/>
          <w:sz w:val="14"/>
        </w:rPr>
        <w:t>Color key: Tier 1 = blocking (red), Tier 2 = verifies the finished oil (amber), Tier 3 = justifies a substitution (blue). Component rows: All / VM / PPD.</w:t>
      </w:r>
    </w:p>
    <w:p>
      <w:pPr>
        <w:spacing w:before="100" w:after="40"/>
      </w:pPr>
      <w:r>
        <w:rPr>
          <w:b/>
          <w:color w:val="155366"/>
          <w:sz w:val="18"/>
        </w:rPr>
        <w:t>A  BASE OILS — Tier 1 blocking / Tier 2 verification / Tier 3 substitution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"/>
        <w:gridCol w:w="2189"/>
        <w:gridCol w:w="4682"/>
        <w:gridCol w:w="2880"/>
      </w:tblGrid>
      <w:tr>
        <w:tc>
          <w:tcPr>
            <w:tcW w:type="dxa" w:w="560"/>
            <w:vAlign w:val="center"/>
            <w:shd w:fill="DCEAF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Tier</w:t>
            </w:r>
          </w:p>
        </w:tc>
        <w:tc>
          <w:tcPr>
            <w:tcW w:type="dxa" w:w="2189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Property / field</w:t>
            </w:r>
          </w:p>
        </w:tc>
        <w:tc>
          <w:tcPr>
            <w:tcW w:type="dxa" w:w="4682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Meaning</w:t>
            </w:r>
          </w:p>
        </w:tc>
        <w:tc>
          <w:tcPr>
            <w:tcW w:type="dxa" w:w="2880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Unit / test condition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API group / chemistry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Base-stock classification (I–V) and oil family.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Category; mineral, PAO, ester, etc.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KV40 / KV100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Kinematic viscosity at two reference temperatures.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cSt (= mm²/s); 40°C / 100°C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Viscosity index (VI)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Index of viscosity change with temperature.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Unitless; derived from KV40/KV100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Density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Mass per unit volume of oil.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kg/m³; record reference °C (often 15°C)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CCS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Cold-cranking apparent viscosity.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mPa·s; stated subzero °C</w:t>
            </w:r>
          </w:p>
        </w:tc>
      </w:tr>
      <w:tr>
        <w:tc>
          <w:tcPr>
            <w:tcW w:type="dxa" w:w="560"/>
            <w:vAlign w:val="center"/>
            <w:shd w:fill="FFF1CC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MRV / yield stress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Low-temperature pumping viscosity / stress to initiate flow.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mPa·s / Pa; stated subzero °C</w:t>
            </w:r>
          </w:p>
        </w:tc>
      </w:tr>
      <w:tr>
        <w:tc>
          <w:tcPr>
            <w:tcW w:type="dxa" w:w="560"/>
            <w:vAlign w:val="center"/>
            <w:shd w:fill="FFF1CC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Noack volatility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Mass fraction evaporated in a specified test. Records use only a source-stated test temperature, else null.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wt.% loss; standard 250°C for 1 h</w:t>
            </w:r>
          </w:p>
        </w:tc>
      </w:tr>
      <w:tr>
        <w:tc>
          <w:tcPr>
            <w:tcW w:type="dxa" w:w="560"/>
            <w:vAlign w:val="center"/>
            <w:shd w:fill="FFF1CC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Pour / flash point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Low-temperature flow limit / vapor ignition temperature.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°C; flash test method COC or PMCC</w:t>
            </w:r>
          </w:p>
        </w:tc>
      </w:tr>
      <w:tr>
        <w:tc>
          <w:tcPr>
            <w:tcW w:type="dxa" w:w="560"/>
            <w:vAlign w:val="center"/>
            <w:shd w:fill="E3EEF9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Sulfur / saturates / aromatics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Composition markers used in base-oil comparison.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wt.% or % as stated</w:t>
            </w:r>
          </w:p>
        </w:tc>
      </w:tr>
      <w:tr>
        <w:tc>
          <w:tcPr>
            <w:tcW w:type="dxa" w:w="560"/>
            <w:vAlign w:val="center"/>
            <w:shd w:fill="E3EEF9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Cloud point / wax content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Onset of visible cloudiness / wax fraction.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°C / wt.%</w:t>
            </w:r>
          </w:p>
        </w:tc>
      </w:tr>
    </w:tbl>
    <w:p>
      <w:pPr>
        <w:spacing w:before="100" w:after="40"/>
      </w:pPr>
      <w:r>
        <w:rPr>
          <w:b/>
          <w:color w:val="155366"/>
          <w:sz w:val="18"/>
        </w:rPr>
        <w:t>B  ADDITIVE PACKAGES — Route-defining fields / Numeric contribution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"/>
        <w:gridCol w:w="2189"/>
        <w:gridCol w:w="4682"/>
        <w:gridCol w:w="2880"/>
      </w:tblGrid>
      <w:tr>
        <w:tc>
          <w:tcPr>
            <w:tcW w:type="dxa" w:w="560"/>
            <w:vAlign w:val="center"/>
            <w:shd w:fill="DCEAF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Tier</w:t>
            </w:r>
          </w:p>
        </w:tc>
        <w:tc>
          <w:tcPr>
            <w:tcW w:type="dxa" w:w="2189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Property / field</w:t>
            </w:r>
          </w:p>
        </w:tc>
        <w:tc>
          <w:tcPr>
            <w:tcW w:type="dxa" w:w="4682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Meaning</w:t>
            </w:r>
          </w:p>
        </w:tc>
        <w:tc>
          <w:tcPr>
            <w:tcW w:type="dxa" w:w="2880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Unit / test condition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Type / application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Package category and intended lubricant service.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Descriptive; PVL, CVL, gear, ATF, etc.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Claims / semantics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Claimed API, ACEA, OEM etc.; distinguish approval vs recommendation and scope.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Designation + claim type / evidence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SAE grades / restrictions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Documented grades, permitted base oils, exclusions and allowed combinations.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SAE grade / API group / descriptive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Treat rate / co-additives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Package dose by claim/grade; required VM, PPD or booster doses.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Min / max / typical wt.%</w:t>
            </w:r>
          </w:p>
        </w:tc>
      </w:tr>
      <w:tr>
        <w:tc>
          <w:tcPr>
            <w:tcW w:type="dxa" w:w="560"/>
            <w:vAlign w:val="center"/>
            <w:shd w:fill="FBE3E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Published formulation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Exact supplier recipe and measured results.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Each ingredient wt.%; total 100 wt.%</w:t>
            </w:r>
          </w:p>
        </w:tc>
      </w:tr>
      <w:tr>
        <w:tc>
          <w:tcPr>
            <w:tcW w:type="dxa" w:w="560"/>
            <w:vAlign w:val="center"/>
            <w:shd w:fill="FFF1CC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TBN / sulfated ash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Alkalinity reserve / inorganic ash after testing.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mg KOH/g / wt.%</w:t>
            </w:r>
          </w:p>
        </w:tc>
      </w:tr>
      <w:tr>
        <w:tc>
          <w:tcPr>
            <w:tcW w:type="dxa" w:w="560"/>
            <w:vAlign w:val="center"/>
            <w:shd w:fill="FFF1CC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Ca, Mg, Zn, P, B, Mo, N, S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Elemental contributions of the package.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wt.% each</w:t>
            </w:r>
          </w:p>
        </w:tc>
      </w:tr>
      <w:tr>
        <w:tc>
          <w:tcPr>
            <w:tcW w:type="dxa" w:w="560"/>
            <w:vAlign w:val="center"/>
            <w:shd w:fill="FFF1CC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KV40 / KV100 / density</w:t>
            </w:r>
          </w:p>
        </w:tc>
        <w:tc>
          <w:tcPr>
            <w:tcW w:type="dxa" w:w="468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Package flow properties and mass per volume.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cSt at 40/100°C; kg/m³ at stated °C</w:t>
            </w:r>
          </w:p>
        </w:tc>
      </w:tr>
      <w:tr>
        <w:tc>
          <w:tcPr>
            <w:tcW w:type="dxa" w:w="560"/>
            <w:vAlign w:val="center"/>
            <w:shd w:fill="FFF1CC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Flash / pour point</w:t>
            </w:r>
          </w:p>
        </w:tc>
        <w:tc>
          <w:tcPr>
            <w:tcW w:type="dxa" w:w="468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High-temperature ignition / low-temperature flow indicators.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°C; record flash method</w:t>
            </w:r>
          </w:p>
        </w:tc>
      </w:tr>
    </w:tbl>
    <w:p>
      <w:pPr>
        <w:spacing w:before="100" w:after="40"/>
      </w:pPr>
      <w:r>
        <w:rPr>
          <w:b/>
          <w:color w:val="155366"/>
          <w:sz w:val="18"/>
        </w:rPr>
        <w:t>C  ADDITIVE COMPONENTS — General / VM / PPD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2189"/>
        <w:gridCol w:w="4342"/>
        <w:gridCol w:w="2880"/>
      </w:tblGrid>
      <w:tr>
        <w:tc>
          <w:tcPr>
            <w:tcW w:type="dxa" w:w="900"/>
            <w:vAlign w:val="center"/>
            <w:shd w:fill="DCEAF0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Applies to</w:t>
            </w:r>
          </w:p>
        </w:tc>
        <w:tc>
          <w:tcPr>
            <w:tcW w:type="dxa" w:w="2189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Property / field</w:t>
            </w:r>
          </w:p>
        </w:tc>
        <w:tc>
          <w:tcPr>
            <w:tcW w:type="dxa" w:w="4342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Meaning</w:t>
            </w:r>
          </w:p>
        </w:tc>
        <w:tc>
          <w:tcPr>
            <w:tcW w:type="dxa" w:w="2880"/>
            <w:vAlign w:val="center"/>
            <w:shd w:fill="DCEAF0"/>
          </w:tcPr>
          <w:p>
            <w:pPr>
              <w:spacing w:before="0" w:after="0"/>
            </w:pPr>
            <w:r>
              <w:rPr>
                <w:b/>
                <w:sz w:val="13"/>
              </w:rPr>
              <w:t>Unit / test condition</w:t>
            </w:r>
          </w:p>
        </w:tc>
      </w:tr>
      <w:tr>
        <w:tc>
          <w:tcPr>
            <w:tcW w:type="dxa" w:w="900"/>
            <w:vAlign w:val="center"/>
            <w:shd w:fill="EDEDED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All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Function / chemistry</w:t>
            </w:r>
          </w:p>
        </w:tc>
        <w:tc>
          <w:tcPr>
            <w:tcW w:type="dxa" w:w="434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Primary/secondary function and chemical family (e.g., ZDDP, OCP, PMA).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Descriptive</w:t>
            </w:r>
          </w:p>
        </w:tc>
      </w:tr>
      <w:tr>
        <w:tc>
          <w:tcPr>
            <w:tcW w:type="dxa" w:w="900"/>
            <w:vAlign w:val="center"/>
            <w:shd w:fill="EDEDED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All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Active / carrier / dose</w:t>
            </w:r>
          </w:p>
        </w:tc>
        <w:tc>
          <w:tcPr>
            <w:tcW w:type="dxa" w:w="434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Active ingredient fraction, carrier identity/share and recommended treat range.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wt.% with basis; min/max/typical wt.%</w:t>
            </w:r>
          </w:p>
        </w:tc>
      </w:tr>
      <w:tr>
        <w:tc>
          <w:tcPr>
            <w:tcW w:type="dxa" w:w="900"/>
            <w:vAlign w:val="center"/>
            <w:shd w:fill="EDEDED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All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Compatibility / markers</w:t>
            </w:r>
          </w:p>
        </w:tc>
        <w:tc>
          <w:tcPr>
            <w:tcW w:type="dxa" w:w="434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Permitted oils, co-additives, seals; relevant TBN, Ca/Mg, P/Zn or Mo.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Descriptive; marker units as reported</w:t>
            </w:r>
          </w:p>
        </w:tc>
      </w:tr>
      <w:tr>
        <w:tc>
          <w:tcPr>
            <w:tcW w:type="dxa" w:w="900"/>
            <w:vAlign w:val="center"/>
            <w:shd w:fill="E3F2E6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VM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VM response / SSI</w:t>
            </w:r>
          </w:p>
        </w:tc>
        <w:tc>
          <w:tcPr>
            <w:tcW w:type="dxa" w:w="434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Viscosity thickening at a named oil/dose; shear-stability index and post-shear behavior.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ΔKV100 cSt; SSI unitless; method/cycles</w:t>
            </w:r>
          </w:p>
        </w:tc>
      </w:tr>
      <w:tr>
        <w:tc>
          <w:tcPr>
            <w:tcW w:type="dxa" w:w="900"/>
            <w:vAlign w:val="center"/>
            <w:shd w:fill="E3F2E6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VM</w:t>
            </w:r>
          </w:p>
        </w:tc>
        <w:tc>
          <w:tcPr>
            <w:tcW w:type="dxa" w:w="2189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VM cold / blend behavior</w:t>
            </w:r>
          </w:p>
        </w:tc>
        <w:tc>
          <w:tcPr>
            <w:tcW w:type="dxa" w:w="4342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HTHS, CCS/MRV effects, gelation, dissolution/blend temperature.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mPa·s at stated °C; blend °C</w:t>
            </w:r>
          </w:p>
        </w:tc>
      </w:tr>
      <w:tr>
        <w:tc>
          <w:tcPr>
            <w:tcW w:type="dxa" w:w="900"/>
            <w:vAlign w:val="center"/>
            <w:shd w:fill="EBE4F4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PPD</w:t>
            </w:r>
          </w:p>
        </w:tc>
        <w:tc>
          <w:tcPr>
            <w:tcW w:type="dxa" w:w="2189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PPD response / process</w:t>
            </w:r>
          </w:p>
        </w:tc>
        <w:tc>
          <w:tcPr>
            <w:tcW w:type="dxa" w:w="4342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Pour-point and MRV/CCS response vs dose, wax compatibility, addition procedure.</w:t>
            </w:r>
          </w:p>
        </w:tc>
        <w:tc>
          <w:tcPr>
            <w:tcW w:type="dxa" w:w="2880"/>
            <w:vAlign w:val="center"/>
            <w:shd w:fill="F3F7F9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°C / mPa·s at dose and reference oil</w:t>
            </w:r>
          </w:p>
        </w:tc>
      </w:tr>
    </w:tbl>
    <w:p>
      <w:pPr>
        <w:spacing w:before="100"/>
      </w:pPr>
      <w:r>
        <w:rPr>
          <w:b/>
          <w:sz w:val="14"/>
        </w:rPr>
        <w:t xml:space="preserve">Extraction rule  </w:t>
      </w:r>
      <w:r>
        <w:rPr>
          <w:sz w:val="14"/>
        </w:rPr>
        <w:t>Never infer absent facts. Preserve source + page + revision; mark Reported / Calculated / Missing / Not applicable. A component response needs reference oil, dose and method.</w:t>
      </w:r>
    </w:p>
    <w:sectPr w:rsidR="00FC693F" w:rsidRPr="0006063C" w:rsidSect="00034616">
      <w:pgSz w:w="12240" w:h="15840"/>
      <w:pgMar w:top="677" w:right="749" w:bottom="619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