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القضية الأدبية: مدرسة الإحياء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ص75-79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يوضّحَ مفهومَ مدرسة الإحياء وسببَ تسميتها وأسبابَ ظهورها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يعدّدَ أعلامَها في الشعر والنثر ويستخرجَ سماتِها الفنية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تدريبات الكتاب (ص78-79) في دفتره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تعريف الجنس الأدبي؟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جنسين أدبيين من أجناس العصر الحديث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توقّع: ما الذي تعنيه كلمة «الإحياء» في سياق أدبي؟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تمهيد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حال الأدب العربي قبل مدرسة الإحياء (ص75): قراءة البطاقات ومناقشة قصيرة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سبب التسمية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لماذا سُمّيت «مدرسة الإحياء»؟ — استنتاج من البطاقات (ص75)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أسباب الظهور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الأسباب الخمسة لظهور المدرسة في بطاقات مرقّمة — يسترجعها الطالب من ذاكرته ثم يصحّح بالكشف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أعلام الشعر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البارودي رائد المدرسة في الشعر (ص76) + إضاءة: المعارضة الشعرية — «نهج البردة» لشوقي معارضةً «البردة» للبوصيري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أعلام النثر والمسرح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استلهام روح الأدب القديم أصالةً وجزالة (ص76) — والمسرح «أبو الفنون» (ص77)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السمات الفنية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بطاقات السمات الست (ص77) — تثبيت للحفظ: استرجاع ذاتي ثم تصحيح بالكشف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تدريبات الكتاب (ص78-79) كاملة في الدفتر، ثم التصحيح الذاتي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9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— فرديًا ثم جماعيًا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أسباب ظهور المدرسة وسماتها الفنية من الدفتر، وحفظ أعلامها في الشعر والنثر.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ربط القضية بقضية الوحدة الأولى (الأجناس الأدبية) في التدريب العلاجي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التأكيد على حفظ السمات الفنية الاسترجاعي لا القراءة السلبية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