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الكتابة: المقال التفسيري «لماذا تُحيي الأمم تراثها؟» — الحصة الأولى (الشرح والتخطيط)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ص101-102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يتعرّفَ مكانة المقدمة في المقال التفسيري وأنواعَها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يكتبَ مقدمةً مناسبةً لموضوعٍ من كتابه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يستعرضَ خطوات كتابة المقال التفسيري: قبل الكتابة وأثناءها وبعدها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يضعَ مخططًا لمقاله «لماذا تُحيي الأمم تراثها؟»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ممَّ يتكون المقال؟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ما وظيفة المقدمة في أي مقال؟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لماذا تهتم الأمم بتراثها برأيك؟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نشاط (1): المقدمة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قراءة فقرة مكانة المقدمة في المقال التفسيري (ص101) ومناقشتها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أنواع المقدمات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إضاءة (ص101): الوصفية — الحوارية — الاقتباسية — مقدمة الغرابة؛ بطاقات مرقّمة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نشاط (1): يكتب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كتابة مقدمة مناسبة لموضوع المستشرقين والمحققين العرب (ص101) في الدفتر، ثم المشاركة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نشاط (2): المهمة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قراءة المهمة الكبرى: مقال «لماذا تُحيي الأمم تراثها؟» بأسسه الفنية (ص101)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خطوات الكتابة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قبل الكتابة — أثناءها (بما فيها أدوات الربط والتوكيد) — بعدها (ص102): قراءة موجّهة وتلخيص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10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أخطط لمقالي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يملأ الطالب خريطة التخطيط في دفتره: العنوان — المقدمة ونوعها — العرض بالأسباب والأمثلة — الخاتمة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تقويم بنائي: كتابة المقدمة التدريبية ومناقشتها — وخريطة التخطيط تُراجع قبل نهاية الحصة.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إكمال خريطة التخطيط في الدفتر، وقراءة مقال تفسيري من صحيفة أو مجلة (النشاط الإثرائي) وإحضاره.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جميع الإجابات تظهر بالضغط بعد محاولة الطالب — لا تُعرض قبل كتابته في دفتره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خريطة التخطيط شرط الانتقال لحصة الكتابة — تُفحص في بداية الحصة الثانية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الأمثلة المطلوبة في العرض من الواقع الوطني والقومي — يُنبَّه الطالب مبكرًا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الثانية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