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F3193" w14:textId="77777777" w:rsidR="003B201A" w:rsidRDefault="00C47A8A">
      <w:pPr>
        <w:pStyle w:val="Title"/>
      </w:pPr>
      <w:r>
        <w:t>Data Fairness Reflection</w:t>
      </w:r>
    </w:p>
    <w:p w14:paraId="2F1F3194" w14:textId="77777777" w:rsidR="003B201A" w:rsidRDefault="00C47A8A">
      <w:pPr>
        <w:spacing w:after="160"/>
      </w:pPr>
      <w:r>
        <w:t>This reflection compares the five neighborhoods served by the program using task2_cleaned_data.csv (404 checkouts) and the full members roster (80 registered members), to judge whether any neighborhood is under-represented in checkout activity.</w:t>
      </w:r>
    </w:p>
    <w:p w14:paraId="2F1F3195" w14:textId="77777777" w:rsidR="003B201A" w:rsidRDefault="00C47A8A">
      <w:pPr>
        <w:pStyle w:val="Heading1"/>
        <w:spacing w:before="280" w:after="120"/>
      </w:pPr>
      <w:r>
        <w:t>The Numbers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1200"/>
        <w:gridCol w:w="1500"/>
        <w:gridCol w:w="1300"/>
        <w:gridCol w:w="1700"/>
        <w:gridCol w:w="1500"/>
      </w:tblGrid>
      <w:tr w:rsidR="003B201A" w14:paraId="2F1F319C" w14:textId="77777777">
        <w:tblPrEx>
          <w:tblCellMar>
            <w:top w:w="0" w:type="dxa"/>
            <w:bottom w:w="0" w:type="dxa"/>
          </w:tblCellMar>
        </w:tblPrEx>
        <w:tc>
          <w:tcPr>
            <w:tcW w:w="1826" w:type="dxa"/>
            <w:shd w:val="clear" w:color="auto" w:fill="00095A"/>
          </w:tcPr>
          <w:p w14:paraId="2F1F3196" w14:textId="77777777" w:rsidR="003B201A" w:rsidRDefault="00C47A8A">
            <w:r>
              <w:rPr>
                <w:b/>
                <w:bCs/>
                <w:color w:val="FFFFFF"/>
              </w:rPr>
              <w:t>Neighborhood</w:t>
            </w:r>
          </w:p>
        </w:tc>
        <w:tc>
          <w:tcPr>
            <w:tcW w:w="1200" w:type="dxa"/>
            <w:shd w:val="clear" w:color="auto" w:fill="00095A"/>
          </w:tcPr>
          <w:p w14:paraId="2F1F3197" w14:textId="77777777" w:rsidR="003B201A" w:rsidRDefault="00C47A8A">
            <w:r>
              <w:rPr>
                <w:b/>
                <w:bCs/>
                <w:color w:val="FFFFFF"/>
              </w:rPr>
              <w:t>Members</w:t>
            </w:r>
          </w:p>
        </w:tc>
        <w:tc>
          <w:tcPr>
            <w:tcW w:w="1500" w:type="dxa"/>
            <w:shd w:val="clear" w:color="auto" w:fill="00095A"/>
          </w:tcPr>
          <w:p w14:paraId="2F1F3198" w14:textId="77777777" w:rsidR="003B201A" w:rsidRDefault="00C47A8A">
            <w:r>
              <w:rPr>
                <w:b/>
                <w:bCs/>
                <w:color w:val="FFFFFF"/>
              </w:rPr>
              <w:t>Member share</w:t>
            </w:r>
          </w:p>
        </w:tc>
        <w:tc>
          <w:tcPr>
            <w:tcW w:w="1300" w:type="dxa"/>
            <w:shd w:val="clear" w:color="auto" w:fill="00095A"/>
          </w:tcPr>
          <w:p w14:paraId="2F1F3199" w14:textId="77777777" w:rsidR="003B201A" w:rsidRDefault="00C47A8A">
            <w:r>
              <w:rPr>
                <w:b/>
                <w:bCs/>
                <w:color w:val="FFFFFF"/>
              </w:rPr>
              <w:t>Checkouts</w:t>
            </w:r>
          </w:p>
        </w:tc>
        <w:tc>
          <w:tcPr>
            <w:tcW w:w="1700" w:type="dxa"/>
            <w:shd w:val="clear" w:color="auto" w:fill="00095A"/>
          </w:tcPr>
          <w:p w14:paraId="2F1F319A" w14:textId="77777777" w:rsidR="003B201A" w:rsidRDefault="00C47A8A">
            <w:r>
              <w:rPr>
                <w:b/>
                <w:bCs/>
                <w:color w:val="FFFFFF"/>
              </w:rPr>
              <w:t>Checkout share</w:t>
            </w:r>
          </w:p>
        </w:tc>
        <w:tc>
          <w:tcPr>
            <w:tcW w:w="1500" w:type="dxa"/>
            <w:shd w:val="clear" w:color="auto" w:fill="00095A"/>
          </w:tcPr>
          <w:p w14:paraId="2F1F319B" w14:textId="77777777" w:rsidR="003B201A" w:rsidRDefault="00C47A8A">
            <w:r>
              <w:rPr>
                <w:b/>
                <w:bCs/>
                <w:color w:val="FFFFFF"/>
              </w:rPr>
              <w:t>Checkouts / member</w:t>
            </w:r>
          </w:p>
        </w:tc>
      </w:tr>
      <w:tr w:rsidR="003B201A" w14:paraId="2F1F31A3" w14:textId="77777777">
        <w:tblPrEx>
          <w:tblCellMar>
            <w:top w:w="0" w:type="dxa"/>
            <w:bottom w:w="0" w:type="dxa"/>
          </w:tblCellMar>
        </w:tblPrEx>
        <w:tc>
          <w:tcPr>
            <w:tcW w:w="1826" w:type="dxa"/>
          </w:tcPr>
          <w:p w14:paraId="2F1F319D" w14:textId="77777777" w:rsidR="003B201A" w:rsidRDefault="00C47A8A">
            <w:r>
              <w:t>Maadi</w:t>
            </w:r>
          </w:p>
        </w:tc>
        <w:tc>
          <w:tcPr>
            <w:tcW w:w="1200" w:type="dxa"/>
          </w:tcPr>
          <w:p w14:paraId="2F1F319E" w14:textId="77777777" w:rsidR="003B201A" w:rsidRDefault="00C47A8A">
            <w:r>
              <w:t>22</w:t>
            </w:r>
          </w:p>
        </w:tc>
        <w:tc>
          <w:tcPr>
            <w:tcW w:w="1500" w:type="dxa"/>
          </w:tcPr>
          <w:p w14:paraId="2F1F319F" w14:textId="77777777" w:rsidR="003B201A" w:rsidRDefault="00C47A8A">
            <w:r>
              <w:t>27.5%</w:t>
            </w:r>
          </w:p>
        </w:tc>
        <w:tc>
          <w:tcPr>
            <w:tcW w:w="1300" w:type="dxa"/>
          </w:tcPr>
          <w:p w14:paraId="2F1F31A0" w14:textId="77777777" w:rsidR="003B201A" w:rsidRDefault="00C47A8A">
            <w:r>
              <w:t>114</w:t>
            </w:r>
          </w:p>
        </w:tc>
        <w:tc>
          <w:tcPr>
            <w:tcW w:w="1700" w:type="dxa"/>
          </w:tcPr>
          <w:p w14:paraId="2F1F31A1" w14:textId="77777777" w:rsidR="003B201A" w:rsidRDefault="00C47A8A">
            <w:r>
              <w:t>28.2%</w:t>
            </w:r>
          </w:p>
        </w:tc>
        <w:tc>
          <w:tcPr>
            <w:tcW w:w="1500" w:type="dxa"/>
          </w:tcPr>
          <w:p w14:paraId="2F1F31A2" w14:textId="77777777" w:rsidR="003B201A" w:rsidRDefault="00C47A8A">
            <w:r>
              <w:t>5.18</w:t>
            </w:r>
          </w:p>
        </w:tc>
      </w:tr>
      <w:tr w:rsidR="003B201A" w14:paraId="2F1F31AA" w14:textId="77777777">
        <w:tblPrEx>
          <w:tblCellMar>
            <w:top w:w="0" w:type="dxa"/>
            <w:bottom w:w="0" w:type="dxa"/>
          </w:tblCellMar>
        </w:tblPrEx>
        <w:tc>
          <w:tcPr>
            <w:tcW w:w="1826" w:type="dxa"/>
          </w:tcPr>
          <w:p w14:paraId="2F1F31A4" w14:textId="77777777" w:rsidR="003B201A" w:rsidRDefault="00C47A8A">
            <w:r>
              <w:t>Nasr City</w:t>
            </w:r>
          </w:p>
        </w:tc>
        <w:tc>
          <w:tcPr>
            <w:tcW w:w="1200" w:type="dxa"/>
          </w:tcPr>
          <w:p w14:paraId="2F1F31A5" w14:textId="77777777" w:rsidR="003B201A" w:rsidRDefault="00C47A8A">
            <w:r>
              <w:t>20</w:t>
            </w:r>
          </w:p>
        </w:tc>
        <w:tc>
          <w:tcPr>
            <w:tcW w:w="1500" w:type="dxa"/>
          </w:tcPr>
          <w:p w14:paraId="2F1F31A6" w14:textId="77777777" w:rsidR="003B201A" w:rsidRDefault="00C47A8A">
            <w:r>
              <w:t>25.0%</w:t>
            </w:r>
          </w:p>
        </w:tc>
        <w:tc>
          <w:tcPr>
            <w:tcW w:w="1300" w:type="dxa"/>
          </w:tcPr>
          <w:p w14:paraId="2F1F31A7" w14:textId="77777777" w:rsidR="003B201A" w:rsidRDefault="00C47A8A">
            <w:r>
              <w:t>101</w:t>
            </w:r>
          </w:p>
        </w:tc>
        <w:tc>
          <w:tcPr>
            <w:tcW w:w="1700" w:type="dxa"/>
          </w:tcPr>
          <w:p w14:paraId="2F1F31A8" w14:textId="77777777" w:rsidR="003B201A" w:rsidRDefault="00C47A8A">
            <w:r>
              <w:t>25.0%</w:t>
            </w:r>
          </w:p>
        </w:tc>
        <w:tc>
          <w:tcPr>
            <w:tcW w:w="1500" w:type="dxa"/>
          </w:tcPr>
          <w:p w14:paraId="2F1F31A9" w14:textId="77777777" w:rsidR="003B201A" w:rsidRDefault="00C47A8A">
            <w:r>
              <w:t>5.05</w:t>
            </w:r>
          </w:p>
        </w:tc>
      </w:tr>
      <w:tr w:rsidR="003B201A" w14:paraId="2F1F31B1" w14:textId="77777777">
        <w:tblPrEx>
          <w:tblCellMar>
            <w:top w:w="0" w:type="dxa"/>
            <w:bottom w:w="0" w:type="dxa"/>
          </w:tblCellMar>
        </w:tblPrEx>
        <w:tc>
          <w:tcPr>
            <w:tcW w:w="1826" w:type="dxa"/>
          </w:tcPr>
          <w:p w14:paraId="2F1F31AB" w14:textId="77777777" w:rsidR="003B201A" w:rsidRDefault="00C47A8A">
            <w:r>
              <w:t>Heliopolis</w:t>
            </w:r>
          </w:p>
        </w:tc>
        <w:tc>
          <w:tcPr>
            <w:tcW w:w="1200" w:type="dxa"/>
          </w:tcPr>
          <w:p w14:paraId="2F1F31AC" w14:textId="77777777" w:rsidR="003B201A" w:rsidRDefault="00C47A8A">
            <w:r>
              <w:t>18</w:t>
            </w:r>
          </w:p>
        </w:tc>
        <w:tc>
          <w:tcPr>
            <w:tcW w:w="1500" w:type="dxa"/>
          </w:tcPr>
          <w:p w14:paraId="2F1F31AD" w14:textId="77777777" w:rsidR="003B201A" w:rsidRDefault="00C47A8A">
            <w:r>
              <w:t>22.5%</w:t>
            </w:r>
          </w:p>
        </w:tc>
        <w:tc>
          <w:tcPr>
            <w:tcW w:w="1300" w:type="dxa"/>
          </w:tcPr>
          <w:p w14:paraId="2F1F31AE" w14:textId="77777777" w:rsidR="003B201A" w:rsidRDefault="00C47A8A">
            <w:r>
              <w:t>87</w:t>
            </w:r>
          </w:p>
        </w:tc>
        <w:tc>
          <w:tcPr>
            <w:tcW w:w="1700" w:type="dxa"/>
          </w:tcPr>
          <w:p w14:paraId="2F1F31AF" w14:textId="77777777" w:rsidR="003B201A" w:rsidRDefault="00C47A8A">
            <w:r>
              <w:t>21.5%</w:t>
            </w:r>
          </w:p>
        </w:tc>
        <w:tc>
          <w:tcPr>
            <w:tcW w:w="1500" w:type="dxa"/>
          </w:tcPr>
          <w:p w14:paraId="2F1F31B0" w14:textId="77777777" w:rsidR="003B201A" w:rsidRDefault="00C47A8A">
            <w:r>
              <w:t>4.83</w:t>
            </w:r>
          </w:p>
        </w:tc>
      </w:tr>
      <w:tr w:rsidR="003B201A" w14:paraId="2F1F31B8" w14:textId="77777777">
        <w:tblPrEx>
          <w:tblCellMar>
            <w:top w:w="0" w:type="dxa"/>
            <w:bottom w:w="0" w:type="dxa"/>
          </w:tblCellMar>
        </w:tblPrEx>
        <w:tc>
          <w:tcPr>
            <w:tcW w:w="1826" w:type="dxa"/>
          </w:tcPr>
          <w:p w14:paraId="2F1F31B2" w14:textId="77777777" w:rsidR="003B201A" w:rsidRDefault="00C47A8A">
            <w:r>
              <w:t>Zamalek</w:t>
            </w:r>
          </w:p>
        </w:tc>
        <w:tc>
          <w:tcPr>
            <w:tcW w:w="1200" w:type="dxa"/>
          </w:tcPr>
          <w:p w14:paraId="2F1F31B3" w14:textId="77777777" w:rsidR="003B201A" w:rsidRDefault="00C47A8A">
            <w:r>
              <w:t>14</w:t>
            </w:r>
          </w:p>
        </w:tc>
        <w:tc>
          <w:tcPr>
            <w:tcW w:w="1500" w:type="dxa"/>
          </w:tcPr>
          <w:p w14:paraId="2F1F31B4" w14:textId="77777777" w:rsidR="003B201A" w:rsidRDefault="00C47A8A">
            <w:r>
              <w:t>17.5%</w:t>
            </w:r>
          </w:p>
        </w:tc>
        <w:tc>
          <w:tcPr>
            <w:tcW w:w="1300" w:type="dxa"/>
          </w:tcPr>
          <w:p w14:paraId="2F1F31B5" w14:textId="77777777" w:rsidR="003B201A" w:rsidRDefault="00C47A8A">
            <w:r>
              <w:t>68</w:t>
            </w:r>
          </w:p>
        </w:tc>
        <w:tc>
          <w:tcPr>
            <w:tcW w:w="1700" w:type="dxa"/>
          </w:tcPr>
          <w:p w14:paraId="2F1F31B6" w14:textId="77777777" w:rsidR="003B201A" w:rsidRDefault="00C47A8A">
            <w:r>
              <w:t>16.8%</w:t>
            </w:r>
          </w:p>
        </w:tc>
        <w:tc>
          <w:tcPr>
            <w:tcW w:w="1500" w:type="dxa"/>
          </w:tcPr>
          <w:p w14:paraId="2F1F31B7" w14:textId="77777777" w:rsidR="003B201A" w:rsidRDefault="00C47A8A">
            <w:r>
              <w:t>4.86</w:t>
            </w:r>
          </w:p>
        </w:tc>
      </w:tr>
      <w:tr w:rsidR="003B201A" w14:paraId="2F1F31BF" w14:textId="77777777">
        <w:tblPrEx>
          <w:tblCellMar>
            <w:top w:w="0" w:type="dxa"/>
            <w:bottom w:w="0" w:type="dxa"/>
          </w:tblCellMar>
        </w:tblPrEx>
        <w:tc>
          <w:tcPr>
            <w:tcW w:w="1826" w:type="dxa"/>
          </w:tcPr>
          <w:p w14:paraId="2F1F31B9" w14:textId="77777777" w:rsidR="003B201A" w:rsidRDefault="00C47A8A">
            <w:r>
              <w:t>Shubra</w:t>
            </w:r>
          </w:p>
        </w:tc>
        <w:tc>
          <w:tcPr>
            <w:tcW w:w="1200" w:type="dxa"/>
          </w:tcPr>
          <w:p w14:paraId="2F1F31BA" w14:textId="77777777" w:rsidR="003B201A" w:rsidRDefault="00C47A8A">
            <w:r>
              <w:t>6</w:t>
            </w:r>
          </w:p>
        </w:tc>
        <w:tc>
          <w:tcPr>
            <w:tcW w:w="1500" w:type="dxa"/>
          </w:tcPr>
          <w:p w14:paraId="2F1F31BB" w14:textId="77777777" w:rsidR="003B201A" w:rsidRDefault="00C47A8A">
            <w:r>
              <w:t>7.5%</w:t>
            </w:r>
          </w:p>
        </w:tc>
        <w:tc>
          <w:tcPr>
            <w:tcW w:w="1300" w:type="dxa"/>
          </w:tcPr>
          <w:p w14:paraId="2F1F31BC" w14:textId="77777777" w:rsidR="003B201A" w:rsidRDefault="00C47A8A">
            <w:r>
              <w:t>34</w:t>
            </w:r>
          </w:p>
        </w:tc>
        <w:tc>
          <w:tcPr>
            <w:tcW w:w="1700" w:type="dxa"/>
          </w:tcPr>
          <w:p w14:paraId="2F1F31BD" w14:textId="77777777" w:rsidR="003B201A" w:rsidRDefault="00C47A8A">
            <w:r>
              <w:t>8.4%</w:t>
            </w:r>
          </w:p>
        </w:tc>
        <w:tc>
          <w:tcPr>
            <w:tcW w:w="1500" w:type="dxa"/>
          </w:tcPr>
          <w:p w14:paraId="2F1F31BE" w14:textId="77777777" w:rsidR="003B201A" w:rsidRDefault="00C47A8A">
            <w:r>
              <w:t>5.67</w:t>
            </w:r>
          </w:p>
        </w:tc>
      </w:tr>
    </w:tbl>
    <w:p w14:paraId="2F1F31C0" w14:textId="77777777" w:rsidR="003B201A" w:rsidRDefault="00C47A8A">
      <w:pPr>
        <w:spacing w:after="160"/>
      </w:pPr>
      <w:r>
        <w:t>Program-wide average: 5.05 checkouts per member.</w:t>
      </w:r>
    </w:p>
    <w:p w14:paraId="2F1F31C1" w14:textId="77777777" w:rsidR="003B201A" w:rsidRDefault="00C47A8A">
      <w:pPr>
        <w:pStyle w:val="Heading1"/>
        <w:spacing w:before="280" w:after="120"/>
      </w:pPr>
      <w:r>
        <w:t>1. Basis</w:t>
      </w:r>
    </w:p>
    <w:p w14:paraId="2F1F31C2" w14:textId="7761C3EE" w:rsidR="003B201A" w:rsidRDefault="00C47A8A">
      <w:pPr>
        <w:spacing w:after="160"/>
      </w:pPr>
      <w:r>
        <w:t>A neighborhood was treated as under-represented if its share of checkouts fell meaningfully below its share of members</w:t>
      </w:r>
      <w:r>
        <w:t xml:space="preserve"> specifically, a gap of more than 5 percentage points between member share and checkout share, or a checkouts-per-member figure well below the program-wide average of 5.05. A neighborhood with, say, 20% of members generating only 10% of checkouts would clearly qualify; a neighborhood a percentage point off the average would not.</w:t>
      </w:r>
    </w:p>
    <w:p w14:paraId="2F1F31C3" w14:textId="77777777" w:rsidR="003B201A" w:rsidRDefault="00C47A8A">
      <w:pPr>
        <w:pStyle w:val="Heading1"/>
        <w:spacing w:before="280" w:after="120"/>
      </w:pPr>
      <w:r>
        <w:t>2. Finding</w:t>
      </w:r>
    </w:p>
    <w:p w14:paraId="2F1F31C4" w14:textId="7CA68016" w:rsidR="003B201A" w:rsidRDefault="00C47A8A">
      <w:pPr>
        <w:spacing w:after="160"/>
      </w:pPr>
      <w:r>
        <w:t xml:space="preserve">No neighborhood is under-represented by that standard. Every neighborhood's checkout share sits within about 1 percentage point of its member share, and every checkouts-per-member figure sits within roughly half a book of the 5.05 program average. The widest gap belongs to Heliopolis, with 22.5% of members producing 21.5% of checkouts (a 1.0 percentage-point gap, 4.83 checkouts per member) </w:t>
      </w:r>
      <w:r>
        <w:t xml:space="preserve"> small enough to fall well within normal variation rather than a sign of exclusion. Shubra, despite being the smallest neighborhood by member count (6 members), actually has the highest checkouts-per-member figure of all five (5.67), so size alone isn't driving any gap either.</w:t>
      </w:r>
    </w:p>
    <w:p w14:paraId="2F1F31C5" w14:textId="77777777" w:rsidR="003B201A" w:rsidRDefault="00C47A8A">
      <w:pPr>
        <w:pStyle w:val="Heading1"/>
        <w:spacing w:before="280" w:after="120"/>
      </w:pPr>
      <w:r>
        <w:t>3. A Plausible Reason</w:t>
      </w:r>
    </w:p>
    <w:p w14:paraId="2F1F31C6" w14:textId="265FED77" w:rsidR="003B201A" w:rsidRDefault="00C47A8A">
      <w:pPr>
        <w:spacing w:after="160"/>
      </w:pPr>
      <w:r>
        <w:t xml:space="preserve">The small dip in Heliopolis and Zamalek (both a little below the 5.05 average) is more likely everyday variation than a fairness problem: with only 14-18 members each, a few members borrowing slightly less over the period is enough to nudge the neighborhood average down without reflecting anything structural. A realistic contributing factor is distance from the branch </w:t>
      </w:r>
      <w:r>
        <w:t>Heliopolis and Zamalek members may simply have a longer trip to the library than members in Maadi or Nasr City, making frequent visits marginally less convenient even though nothing else about the program treats them differently.</w:t>
      </w:r>
    </w:p>
    <w:p w14:paraId="2F1F31C7" w14:textId="77777777" w:rsidR="003B201A" w:rsidRDefault="00C47A8A">
      <w:pPr>
        <w:pStyle w:val="Heading1"/>
        <w:spacing w:before="280" w:after="120"/>
      </w:pPr>
      <w:r>
        <w:t>4. A Next Step</w:t>
      </w:r>
    </w:p>
    <w:p w14:paraId="2F1F31C8" w14:textId="77777777" w:rsidR="003B201A" w:rsidRDefault="00C47A8A">
      <w:pPr>
        <w:spacing w:after="160"/>
      </w:pPr>
      <w:r>
        <w:t>Even though no neighborhood is currently under-represented, Heliopolis and Zamalek are the two trailing slightly behind the average. Next summer, the library could run a satellite Reading Kickoff session in Heliopolis and Zamalek (rather than only at the main branch) to remove the distance factor and see whether checkout activity in those two neighborhoods rises closer to the program average.</w:t>
      </w:r>
    </w:p>
    <w:sectPr w:rsidR="003B20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BC381B"/>
    <w:multiLevelType w:val="hybridMultilevel"/>
    <w:tmpl w:val="7DE88C74"/>
    <w:lvl w:ilvl="0" w:tplc="BE0A26C6">
      <w:start w:val="1"/>
      <w:numFmt w:val="bullet"/>
      <w:lvlText w:val="●"/>
      <w:lvlJc w:val="left"/>
      <w:pPr>
        <w:ind w:left="720" w:hanging="360"/>
      </w:pPr>
    </w:lvl>
    <w:lvl w:ilvl="1" w:tplc="02BE9A40">
      <w:start w:val="1"/>
      <w:numFmt w:val="bullet"/>
      <w:lvlText w:val="○"/>
      <w:lvlJc w:val="left"/>
      <w:pPr>
        <w:ind w:left="1440" w:hanging="360"/>
      </w:pPr>
    </w:lvl>
    <w:lvl w:ilvl="2" w:tplc="FA705520">
      <w:start w:val="1"/>
      <w:numFmt w:val="bullet"/>
      <w:lvlText w:val="■"/>
      <w:lvlJc w:val="left"/>
      <w:pPr>
        <w:ind w:left="2160" w:hanging="360"/>
      </w:pPr>
    </w:lvl>
    <w:lvl w:ilvl="3" w:tplc="3758BD24">
      <w:start w:val="1"/>
      <w:numFmt w:val="bullet"/>
      <w:lvlText w:val="●"/>
      <w:lvlJc w:val="left"/>
      <w:pPr>
        <w:ind w:left="2880" w:hanging="360"/>
      </w:pPr>
    </w:lvl>
    <w:lvl w:ilvl="4" w:tplc="A6DCD540">
      <w:start w:val="1"/>
      <w:numFmt w:val="bullet"/>
      <w:lvlText w:val="○"/>
      <w:lvlJc w:val="left"/>
      <w:pPr>
        <w:ind w:left="3600" w:hanging="360"/>
      </w:pPr>
    </w:lvl>
    <w:lvl w:ilvl="5" w:tplc="92C05D10">
      <w:start w:val="1"/>
      <w:numFmt w:val="bullet"/>
      <w:lvlText w:val="■"/>
      <w:lvlJc w:val="left"/>
      <w:pPr>
        <w:ind w:left="4320" w:hanging="360"/>
      </w:pPr>
    </w:lvl>
    <w:lvl w:ilvl="6" w:tplc="82765B60">
      <w:start w:val="1"/>
      <w:numFmt w:val="bullet"/>
      <w:lvlText w:val="●"/>
      <w:lvlJc w:val="left"/>
      <w:pPr>
        <w:ind w:left="5040" w:hanging="360"/>
      </w:pPr>
    </w:lvl>
    <w:lvl w:ilvl="7" w:tplc="E48C89A2">
      <w:start w:val="1"/>
      <w:numFmt w:val="bullet"/>
      <w:lvlText w:val="●"/>
      <w:lvlJc w:val="left"/>
      <w:pPr>
        <w:ind w:left="5760" w:hanging="360"/>
      </w:pPr>
    </w:lvl>
    <w:lvl w:ilvl="8" w:tplc="8DA4371A">
      <w:start w:val="1"/>
      <w:numFmt w:val="bullet"/>
      <w:lvlText w:val="●"/>
      <w:lvlJc w:val="left"/>
      <w:pPr>
        <w:ind w:left="6480" w:hanging="360"/>
      </w:pPr>
    </w:lvl>
  </w:abstractNum>
  <w:num w:numId="1" w16cid:durableId="1456102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01A"/>
    <w:rsid w:val="003B201A"/>
    <w:rsid w:val="00446B05"/>
    <w:rsid w:val="00BE5F08"/>
    <w:rsid w:val="00C47A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F3193"/>
  <w15:docId w15:val="{FAC44507-F9D5-4075-8927-5322DCE79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409</Words>
  <Characters>2336</Characters>
  <Application>Microsoft Office Word</Application>
  <DocSecurity>0</DocSecurity>
  <Lines>19</Lines>
  <Paragraphs>5</Paragraphs>
  <ScaleCrop>false</ScaleCrop>
  <Company>IBM Corporation</Company>
  <LinksUpToDate>false</LinksUpToDate>
  <CharactersWithSpaces>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Aliaa Osama</cp:lastModifiedBy>
  <cp:revision>2</cp:revision>
  <dcterms:created xsi:type="dcterms:W3CDTF">2026-08-27T07:21:00Z</dcterms:created>
  <dcterms:modified xsi:type="dcterms:W3CDTF">2026-08-27T19:29:00Z</dcterms:modified>
</cp:coreProperties>
</file>