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doctitle"/>
        <w:bidi w:val="0"/>
        <w:spacing w:before="240" w:after="283"/>
        <w:rPr/>
      </w:pPr>
      <w:r>
        <w:rPr/>
        <w:t>Mapping and Execution of the ztachip AI Accelerator on the Xilinx Zynq</w:t>
        <w:noBreakHyphen/>
        <w:t>7000 (ZC702) for On</w:t>
        <w:noBreakHyphen/>
        <w:t>Device Large Language Model Inference</w:t>
      </w:r>
    </w:p>
    <w:p>
      <w:pPr>
        <w:pStyle w:val="HorizontalLine"/>
        <w:bidi w:val="0"/>
        <w:jc w:val="left"/>
        <w:rPr/>
      </w:pPr>
      <w:r>
        <w:rPr/>
      </w:r>
    </w:p>
    <w:p>
      <w:pPr>
        <w:pStyle w:val="BodyText"/>
        <w:bidi w:val="0"/>
        <w:rPr/>
      </w:pPr>
      <w:r>
        <w:rPr>
          <w:rStyle w:val="Strong"/>
        </w:rPr>
        <w:t>A Graduation Project Report</w:t>
      </w:r>
    </w:p>
    <w:p>
      <w:pPr>
        <w:pStyle w:val="BodyText"/>
        <w:bidi w:val="0"/>
        <w:rPr/>
      </w:pPr>
      <w:r>
        <w:rPr/>
        <w:t>Submitted in partial fulfilment of the requirements for the degree of Bachelor of Science in Electronics / Computer Engineering</w:t>
      </w:r>
    </w:p>
    <w:p>
      <w:pPr>
        <w:pStyle w:val="BodyText"/>
        <w:bidi w:val="0"/>
        <w:rPr/>
      </w:pPr>
      <w:r>
        <w:rPr>
          <w:rStyle w:val="Strong"/>
        </w:rPr>
        <w:t>Author:</w:t>
      </w:r>
      <w:r>
        <w:rPr/>
        <w:t xml:space="preserve"> Eslam Elsayed </w:t>
      </w:r>
      <w:r>
        <w:rPr>
          <w:rStyle w:val="Strong"/>
        </w:rPr>
        <w:t>Contact:</w:t>
      </w:r>
      <w:r>
        <w:rPr/>
        <w:t xml:space="preserve"> eslam.elwehedy0@gmail.com</w:t>
      </w:r>
    </w:p>
    <w:p>
      <w:pPr>
        <w:pStyle w:val="BodyText"/>
        <w:bidi w:val="0"/>
        <w:rPr/>
      </w:pPr>
      <w:r>
        <w:rPr>
          <w:rStyle w:val="Strong"/>
        </w:rPr>
        <w:t>Supervisor:</w:t>
      </w:r>
      <w:r>
        <w:rPr/>
        <w:t xml:space="preserve"> _____________________ </w:t>
      </w:r>
      <w:r>
        <w:rPr>
          <w:rStyle w:val="Strong"/>
        </w:rPr>
        <w:t>Department:</w:t>
      </w:r>
      <w:r>
        <w:rPr/>
        <w:t xml:space="preserve"> _____________________ </w:t>
      </w:r>
      <w:r>
        <w:rPr>
          <w:rStyle w:val="Strong"/>
        </w:rPr>
        <w:t>University:</w:t>
      </w:r>
      <w:r>
        <w:rPr/>
        <w:t xml:space="preserve"> _____________________ </w:t>
      </w:r>
      <w:r>
        <w:rPr>
          <w:rStyle w:val="Strong"/>
        </w:rPr>
        <w:t>Academic Year:</w:t>
      </w:r>
      <w:r>
        <w:rPr/>
        <w:t xml:space="preserve"> 2025 – 2026</w:t>
      </w:r>
    </w:p>
    <w:p>
      <w:pPr>
        <w:pStyle w:val="HorizontalLine"/>
        <w:bidi w:val="0"/>
        <w:jc w:val="left"/>
        <w:rPr/>
      </w:pPr>
      <w:r>
        <w:rPr/>
      </w:r>
    </w:p>
    <w:p>
      <w:pPr>
        <w:pStyle w:val="Heading2"/>
        <w:bidi w:val="0"/>
        <w:jc w:val="left"/>
        <w:rPr/>
      </w:pPr>
      <w:r>
        <w:rPr/>
        <w:t>Declaration</w:t>
      </w:r>
    </w:p>
    <w:p>
      <w:pPr>
        <w:pStyle w:val="BodyText"/>
        <w:bidi w:val="0"/>
        <w:rPr/>
      </w:pPr>
      <w:r>
        <w:rPr/>
        <w:t>I declare that this report and the work presented in it are my own and have been generated as the result of my own original work, except where explicit reference is made to the work of others. The hardware design (ztachip) and the language model (SmolLM2) are open</w:t>
        <w:noBreakHyphen/>
        <w:t>source artefacts used under their respective licences; all porting, integration, verification, instrumentation, and analysis work described herein is the author's contribution.</w:t>
      </w:r>
    </w:p>
    <w:p>
      <w:pPr>
        <w:pStyle w:val="HorizontalLine"/>
        <w:bidi w:val="0"/>
        <w:jc w:val="left"/>
        <w:rPr/>
      </w:pPr>
      <w:r>
        <w:rPr/>
      </w:r>
    </w:p>
    <w:p>
      <w:pPr>
        <w:pStyle w:val="Heading2"/>
        <w:bidi w:val="0"/>
        <w:jc w:val="left"/>
        <w:rPr/>
      </w:pPr>
      <w:r>
        <w:rPr/>
        <w:t>Abstract</w:t>
      </w:r>
    </w:p>
    <w:p>
      <w:pPr>
        <w:pStyle w:val="BodyText"/>
        <w:bidi w:val="0"/>
        <w:rPr/>
      </w:pPr>
      <w:r>
        <w:rPr/>
        <w:t>This project investigates the feasibility of executing a transformer</w:t>
        <w:noBreakHyphen/>
        <w:t>based Large Language Model (LLM) on a low</w:t>
        <w:noBreakHyphen/>
        <w:t>cost Field</w:t>
        <w:noBreakHyphen/>
        <w:t>Programmable Gate Array (FPGA) by mapping the open</w:t>
        <w:noBreakHyphen/>
        <w:t xml:space="preserve">source </w:t>
      </w:r>
      <w:r>
        <w:rPr>
          <w:rStyle w:val="Strong"/>
        </w:rPr>
        <w:t>ztachip</w:t>
      </w:r>
      <w:r>
        <w:rPr/>
        <w:t xml:space="preserve"> AI accelerator onto a </w:t>
      </w:r>
      <w:r>
        <w:rPr>
          <w:rStyle w:val="Strong"/>
        </w:rPr>
        <w:t>Xilinx Zynq</w:t>
        <w:noBreakHyphen/>
        <w:t>7000 (XC7Z020, ZC702)</w:t>
      </w:r>
      <w:r>
        <w:rPr/>
        <w:t xml:space="preserve"> development platform. The original ztachip reference design targets an Artix</w:t>
        <w:noBreakHyphen/>
        <w:t>7 board with an external memory controller and an Ethernet model</w:t>
        <w:noBreakHyphen/>
        <w:t>transport path; neither is present in the chosen Zynq configuration. The work therefore re</w:t>
        <w:noBreakHyphen/>
        <w:t>hosts the accelerator at the platform</w:t>
        <w:noBreakHyphen/>
        <w:t xml:space="preserve">wrapper level: the soft </w:t>
      </w:r>
      <w:r>
        <w:rPr>
          <w:rStyle w:val="Strong"/>
        </w:rPr>
        <w:t>VexRiscv</w:t>
      </w:r>
      <w:r>
        <w:rPr/>
        <w:t xml:space="preserve"> RISC</w:t>
        <w:noBreakHyphen/>
        <w:t>V processor and the ztachip tensor engine are retained in the Programmable Logic (PL), while the hard ARM Processing System (PS) is restricted to supplying DDR memory and clock generation. A single</w:t>
        <w:noBreakHyphen/>
        <w:t>root clocking scheme (93.75 MHz / 187.5 MHz via an MMCM) was introduced to achieve timing closure, a two</w:t>
        <w:noBreakHyphen/>
        <w:t>stage firmware boot was devised to navigate the Zynq low</w:t>
        <w:noBreakHyphen/>
        <w:t>memory reserved region, a JTAG/DDR mailbox console replaced the absent serial interface, and a class of silent processor traps caused by misaligned memory accesses was identified and eliminated.</w:t>
      </w:r>
    </w:p>
    <w:p>
      <w:pPr>
        <w:pStyle w:val="BodyText"/>
        <w:bidi w:val="0"/>
        <w:rPr/>
      </w:pPr>
      <w:r>
        <w:rPr/>
        <w:t xml:space="preserve">The integrated system successfully executes the </w:t>
      </w:r>
      <w:r>
        <w:rPr>
          <w:rStyle w:val="Strong"/>
        </w:rPr>
        <w:t>SmolLM2</w:t>
        <w:noBreakHyphen/>
        <w:t>135M</w:t>
      </w:r>
      <w:r>
        <w:rPr/>
        <w:t xml:space="preserve"> and </w:t>
      </w:r>
      <w:r>
        <w:rPr>
          <w:rStyle w:val="Strong"/>
        </w:rPr>
        <w:t>SmolLM2</w:t>
        <w:noBreakHyphen/>
        <w:t>360M</w:t>
      </w:r>
      <w:r>
        <w:rPr/>
        <w:t xml:space="preserve"> instruction models. Functional correctness was established at the kernel level by an on</w:t>
        <w:noBreakHyphen/>
        <w:t>silicon self</w:t>
        <w:noBreakHyphen/>
        <w:t>test in which each ztachip compute primitive was compared against a bit</w:t>
        <w:noBreakHyphen/>
        <w:t xml:space="preserve">exact reference implementation: </w:t>
      </w:r>
      <w:r>
        <w:rPr>
          <w:rStyle w:val="Strong"/>
        </w:rPr>
        <w:t>11 of 11 kernels passed with zero mismatches</w:t>
      </w:r>
      <w:r>
        <w:rPr/>
        <w:t xml:space="preserve"> across approximately 38,657 element</w:t>
        <w:noBreakHyphen/>
        <w:t>level comparisons, including the INT4/INT8 matrix</w:t>
        <w:noBreakHyphen/>
        <w:t>multiply kernels that are intractable to verify in RTL simulation. A performance</w:t>
        <w:noBreakHyphen/>
        <w:t>monitoring unit was added to the design and used to characterise three model configurations over a fixed 30</w:t>
        <w:noBreakHyphen/>
        <w:t xml:space="preserve">prompt workload. The measurements demonstrate, through two independent experiments, that the system is </w:t>
      </w:r>
      <w:r>
        <w:rPr>
          <w:rStyle w:val="Strong"/>
        </w:rPr>
        <w:t>memory</w:t>
        <w:noBreakHyphen/>
        <w:t>bandwidth</w:t>
        <w:noBreakHyphen/>
        <w:t>bound</w:t>
      </w:r>
      <w:r>
        <w:rPr/>
        <w:t>: holding the network fixed while widening the weights (Q4→Q8) and holding the weight width fixed while enlarging the network (135M→360M) both reduce throughput in proportion to the volume of data transferred per token, at a sustained effective bandwidth of 426–520 MB/s. The implications for future optimisation are analysed, and a prioritised improvement plan is proposed.</w:t>
      </w:r>
    </w:p>
    <w:p>
      <w:pPr>
        <w:pStyle w:val="BodyText"/>
        <w:bidi w:val="0"/>
        <w:rPr/>
      </w:pPr>
      <w:r>
        <w:rPr>
          <w:rStyle w:val="Strong"/>
        </w:rPr>
        <w:t>Keywords:</w:t>
      </w:r>
      <w:r>
        <w:rPr/>
        <w:t xml:space="preserve"> FPGA, Zynq</w:t>
        <w:noBreakHyphen/>
        <w:t>7000, RISC</w:t>
        <w:noBreakHyphen/>
        <w:t>V, ztachip, AI accelerator, Large Language Model, transformer, quantisation, memory</w:t>
        <w:noBreakHyphen/>
        <w:t>bound, edge inference.</w:t>
      </w:r>
    </w:p>
    <w:p>
      <w:pPr>
        <w:pStyle w:val="HorizontalLine"/>
        <w:bidi w:val="0"/>
        <w:jc w:val="left"/>
        <w:rPr/>
      </w:pPr>
      <w:r>
        <w:rPr/>
      </w:r>
    </w:p>
    <w:p>
      <w:pPr>
        <w:pStyle w:val="Heading2"/>
        <w:bidi w:val="0"/>
        <w:jc w:val="left"/>
        <w:rPr/>
      </w:pPr>
      <w:r>
        <w:rPr/>
        <w:t>Table of Contents</w:t>
      </w:r>
    </w:p>
    <w:p>
      <w:pPr>
        <w:pStyle w:val="BodyText"/>
        <w:numPr>
          <w:ilvl w:val="0"/>
          <w:numId w:val="1"/>
        </w:numPr>
        <w:tabs>
          <w:tab w:val="clear" w:pos="1134"/>
          <w:tab w:val="left" w:pos="709" w:leader="none"/>
        </w:tabs>
        <w:bidi w:val="0"/>
        <w:spacing w:before="0" w:after="0"/>
        <w:ind w:hanging="283" w:left="709"/>
        <w:rPr/>
      </w:pPr>
      <w:r>
        <w:rPr/>
        <w:t xml:space="preserve">Introduction </w:t>
      </w:r>
    </w:p>
    <w:p>
      <w:pPr>
        <w:pStyle w:val="BodyText"/>
        <w:numPr>
          <w:ilvl w:val="0"/>
          <w:numId w:val="1"/>
        </w:numPr>
        <w:tabs>
          <w:tab w:val="clear" w:pos="1134"/>
          <w:tab w:val="left" w:pos="709" w:leader="none"/>
        </w:tabs>
        <w:bidi w:val="0"/>
        <w:spacing w:before="0" w:after="0"/>
        <w:ind w:hanging="283" w:left="709"/>
        <w:rPr/>
      </w:pPr>
      <w:r>
        <w:rPr/>
        <w:t xml:space="preserve">Background and Related Work </w:t>
      </w:r>
    </w:p>
    <w:p>
      <w:pPr>
        <w:pStyle w:val="BodyText"/>
        <w:numPr>
          <w:ilvl w:val="0"/>
          <w:numId w:val="1"/>
        </w:numPr>
        <w:tabs>
          <w:tab w:val="clear" w:pos="1134"/>
          <w:tab w:val="left" w:pos="709" w:leader="none"/>
        </w:tabs>
        <w:bidi w:val="0"/>
        <w:spacing w:before="0" w:after="0"/>
        <w:ind w:hanging="283" w:left="709"/>
        <w:rPr/>
      </w:pPr>
      <w:r>
        <w:rPr/>
        <w:t xml:space="preserve">System Architecture and Design </w:t>
      </w:r>
    </w:p>
    <w:p>
      <w:pPr>
        <w:pStyle w:val="BodyText"/>
        <w:numPr>
          <w:ilvl w:val="0"/>
          <w:numId w:val="1"/>
        </w:numPr>
        <w:tabs>
          <w:tab w:val="clear" w:pos="1134"/>
          <w:tab w:val="left" w:pos="709" w:leader="none"/>
        </w:tabs>
        <w:bidi w:val="0"/>
        <w:spacing w:before="0" w:after="0"/>
        <w:ind w:hanging="283" w:left="709"/>
        <w:rPr/>
      </w:pPr>
      <w:r>
        <w:rPr/>
        <w:t>Implementation and Bring</w:t>
        <w:noBreakHyphen/>
        <w:t xml:space="preserve">up Methodology </w:t>
      </w:r>
    </w:p>
    <w:p>
      <w:pPr>
        <w:pStyle w:val="BodyText"/>
        <w:numPr>
          <w:ilvl w:val="0"/>
          <w:numId w:val="1"/>
        </w:numPr>
        <w:tabs>
          <w:tab w:val="clear" w:pos="1134"/>
          <w:tab w:val="left" w:pos="709" w:leader="none"/>
        </w:tabs>
        <w:bidi w:val="0"/>
        <w:spacing w:before="0" w:after="0"/>
        <w:ind w:hanging="283" w:left="709"/>
        <w:rPr/>
      </w:pPr>
      <w:r>
        <w:rPr/>
        <w:t xml:space="preserve">Functional Verification </w:t>
      </w:r>
    </w:p>
    <w:p>
      <w:pPr>
        <w:pStyle w:val="BodyText"/>
        <w:numPr>
          <w:ilvl w:val="0"/>
          <w:numId w:val="1"/>
        </w:numPr>
        <w:tabs>
          <w:tab w:val="clear" w:pos="1134"/>
          <w:tab w:val="left" w:pos="709" w:leader="none"/>
        </w:tabs>
        <w:bidi w:val="0"/>
        <w:spacing w:before="0" w:after="0"/>
        <w:ind w:hanging="283" w:left="709"/>
        <w:rPr/>
      </w:pPr>
      <w:r>
        <w:rPr/>
        <w:t xml:space="preserve">Performance Characterisation and Results </w:t>
      </w:r>
    </w:p>
    <w:p>
      <w:pPr>
        <w:pStyle w:val="BodyText"/>
        <w:numPr>
          <w:ilvl w:val="0"/>
          <w:numId w:val="1"/>
        </w:numPr>
        <w:tabs>
          <w:tab w:val="clear" w:pos="1134"/>
          <w:tab w:val="left" w:pos="709" w:leader="none"/>
        </w:tabs>
        <w:bidi w:val="0"/>
        <w:spacing w:before="0" w:after="0"/>
        <w:ind w:hanging="283" w:left="709"/>
        <w:rPr/>
      </w:pPr>
      <w:r>
        <w:rPr/>
        <w:t xml:space="preserve">Proposed Optimisations (Future Work) </w:t>
      </w:r>
    </w:p>
    <w:p>
      <w:pPr>
        <w:pStyle w:val="BodyText"/>
        <w:numPr>
          <w:ilvl w:val="0"/>
          <w:numId w:val="1"/>
        </w:numPr>
        <w:tabs>
          <w:tab w:val="clear" w:pos="1134"/>
          <w:tab w:val="left" w:pos="709" w:leader="none"/>
        </w:tabs>
        <w:bidi w:val="0"/>
        <w:ind w:hanging="283" w:left="709"/>
        <w:rPr/>
      </w:pPr>
      <w:r>
        <w:rPr/>
        <w:t xml:space="preserve">Conclusion </w:t>
      </w:r>
    </w:p>
    <w:p>
      <w:pPr>
        <w:pStyle w:val="BodyText"/>
        <w:numPr>
          <w:ilvl w:val="0"/>
          <w:numId w:val="2"/>
        </w:numPr>
        <w:tabs>
          <w:tab w:val="clear" w:pos="1134"/>
          <w:tab w:val="left" w:pos="709" w:leader="none"/>
        </w:tabs>
        <w:bidi w:val="0"/>
        <w:spacing w:before="0" w:after="0"/>
        <w:ind w:hanging="283" w:left="709"/>
        <w:rPr/>
      </w:pPr>
      <w:r>
        <w:rPr/>
        <w:t xml:space="preserve">References </w:t>
      </w:r>
    </w:p>
    <w:p>
      <w:pPr>
        <w:pStyle w:val="BodyText"/>
        <w:numPr>
          <w:ilvl w:val="0"/>
          <w:numId w:val="2"/>
        </w:numPr>
        <w:tabs>
          <w:tab w:val="clear" w:pos="1134"/>
          <w:tab w:val="left" w:pos="709" w:leader="none"/>
        </w:tabs>
        <w:bidi w:val="0"/>
        <w:spacing w:before="0" w:after="0"/>
        <w:ind w:hanging="283" w:left="709"/>
        <w:rPr/>
      </w:pPr>
      <w:r>
        <w:rPr/>
        <w:t>Appendix A: Timing</w:t>
        <w:noBreakHyphen/>
        <w:t xml:space="preserve">Closure Analysis </w:t>
      </w:r>
    </w:p>
    <w:p>
      <w:pPr>
        <w:pStyle w:val="BodyText"/>
        <w:numPr>
          <w:ilvl w:val="0"/>
          <w:numId w:val="2"/>
        </w:numPr>
        <w:tabs>
          <w:tab w:val="clear" w:pos="1134"/>
          <w:tab w:val="left" w:pos="709" w:leader="none"/>
        </w:tabs>
        <w:bidi w:val="0"/>
        <w:spacing w:before="0" w:after="0"/>
        <w:ind w:hanging="283" w:left="709"/>
        <w:rPr/>
      </w:pPr>
      <w:r>
        <w:rPr/>
        <w:t xml:space="preserve">Appendix B: Reproduction Procedures </w:t>
      </w:r>
    </w:p>
    <w:p>
      <w:pPr>
        <w:pStyle w:val="BodyText"/>
        <w:numPr>
          <w:ilvl w:val="0"/>
          <w:numId w:val="2"/>
        </w:numPr>
        <w:tabs>
          <w:tab w:val="clear" w:pos="1134"/>
          <w:tab w:val="left" w:pos="709" w:leader="none"/>
        </w:tabs>
        <w:bidi w:val="0"/>
        <w:ind w:hanging="283" w:left="709"/>
        <w:rPr/>
      </w:pPr>
      <w:r>
        <w:rPr/>
        <w:t xml:space="preserve">Appendix C: Consolidated Memory Map </w:t>
      </w:r>
    </w:p>
    <w:p>
      <w:pPr>
        <w:pStyle w:val="Heading2"/>
        <w:bidi w:val="0"/>
        <w:jc w:val="left"/>
        <w:rPr/>
      </w:pPr>
      <w:r>
        <w:rPr/>
        <w:t>List of Tables</w:t>
      </w:r>
    </w:p>
    <w:p>
      <w:pPr>
        <w:pStyle w:val="BodyText"/>
        <w:numPr>
          <w:ilvl w:val="0"/>
          <w:numId w:val="3"/>
        </w:numPr>
        <w:tabs>
          <w:tab w:val="clear" w:pos="1134"/>
          <w:tab w:val="left" w:pos="709" w:leader="none"/>
        </w:tabs>
        <w:bidi w:val="0"/>
        <w:spacing w:before="0" w:after="0"/>
        <w:ind w:hanging="283" w:left="709"/>
        <w:rPr/>
      </w:pPr>
      <w:r>
        <w:rPr/>
        <w:t xml:space="preserve">Table 2.1: FPGA resource utilisation of the integrated design </w:t>
      </w:r>
    </w:p>
    <w:p>
      <w:pPr>
        <w:pStyle w:val="BodyText"/>
        <w:numPr>
          <w:ilvl w:val="0"/>
          <w:numId w:val="3"/>
        </w:numPr>
        <w:tabs>
          <w:tab w:val="clear" w:pos="1134"/>
          <w:tab w:val="left" w:pos="709" w:leader="none"/>
        </w:tabs>
        <w:bidi w:val="0"/>
        <w:spacing w:before="0" w:after="0"/>
        <w:ind w:hanging="283" w:left="709"/>
        <w:rPr/>
      </w:pPr>
      <w:r>
        <w:rPr/>
        <w:t xml:space="preserve">Table 2.2: SmolLM2 model configuration parameters </w:t>
      </w:r>
    </w:p>
    <w:p>
      <w:pPr>
        <w:pStyle w:val="BodyText"/>
        <w:numPr>
          <w:ilvl w:val="0"/>
          <w:numId w:val="3"/>
        </w:numPr>
        <w:tabs>
          <w:tab w:val="clear" w:pos="1134"/>
          <w:tab w:val="left" w:pos="709" w:leader="none"/>
        </w:tabs>
        <w:bidi w:val="0"/>
        <w:spacing w:before="0" w:after="0"/>
        <w:ind w:hanging="283" w:left="709"/>
        <w:rPr/>
      </w:pPr>
      <w:r>
        <w:rPr/>
        <w:t xml:space="preserve">Table 3.1: Platform mapping from Arty A7 to ZC702 </w:t>
      </w:r>
    </w:p>
    <w:p>
      <w:pPr>
        <w:pStyle w:val="BodyText"/>
        <w:numPr>
          <w:ilvl w:val="0"/>
          <w:numId w:val="3"/>
        </w:numPr>
        <w:tabs>
          <w:tab w:val="clear" w:pos="1134"/>
          <w:tab w:val="left" w:pos="709" w:leader="none"/>
        </w:tabs>
        <w:bidi w:val="0"/>
        <w:spacing w:before="0" w:after="0"/>
        <w:ind w:hanging="283" w:left="709"/>
        <w:rPr/>
      </w:pPr>
      <w:r>
        <w:rPr/>
        <w:t>Table 4.1: JTAG model</w:t>
        <w:noBreakHyphen/>
        <w:t xml:space="preserve">load times by configuration </w:t>
      </w:r>
    </w:p>
    <w:p>
      <w:pPr>
        <w:pStyle w:val="BodyText"/>
        <w:numPr>
          <w:ilvl w:val="0"/>
          <w:numId w:val="3"/>
        </w:numPr>
        <w:tabs>
          <w:tab w:val="clear" w:pos="1134"/>
          <w:tab w:val="left" w:pos="709" w:leader="none"/>
        </w:tabs>
        <w:bidi w:val="0"/>
        <w:spacing w:before="0" w:after="0"/>
        <w:ind w:hanging="283" w:left="709"/>
        <w:rPr/>
      </w:pPr>
      <w:r>
        <w:rPr/>
        <w:t>Table 5.1: On</w:t>
        <w:noBreakHyphen/>
        <w:t xml:space="preserve">silicon kernel verification results </w:t>
      </w:r>
    </w:p>
    <w:p>
      <w:pPr>
        <w:pStyle w:val="BodyText"/>
        <w:numPr>
          <w:ilvl w:val="0"/>
          <w:numId w:val="3"/>
        </w:numPr>
        <w:tabs>
          <w:tab w:val="clear" w:pos="1134"/>
          <w:tab w:val="left" w:pos="709" w:leader="none"/>
        </w:tabs>
        <w:bidi w:val="0"/>
        <w:spacing w:before="0" w:after="0"/>
        <w:ind w:hanging="283" w:left="709"/>
        <w:rPr/>
      </w:pPr>
      <w:r>
        <w:rPr/>
        <w:t xml:space="preserve">Table 6.1: Definitions of reported performance metrics </w:t>
      </w:r>
    </w:p>
    <w:p>
      <w:pPr>
        <w:pStyle w:val="BodyText"/>
        <w:numPr>
          <w:ilvl w:val="0"/>
          <w:numId w:val="3"/>
        </w:numPr>
        <w:tabs>
          <w:tab w:val="clear" w:pos="1134"/>
          <w:tab w:val="left" w:pos="709" w:leader="none"/>
        </w:tabs>
        <w:bidi w:val="0"/>
        <w:spacing w:before="0" w:after="0"/>
        <w:ind w:hanging="283" w:left="709"/>
        <w:rPr/>
      </w:pPr>
      <w:r>
        <w:rPr/>
        <w:t>Table 6.2: Three</w:t>
        <w:noBreakHyphen/>
        <w:t>model throughput and memory</w:t>
        <w:noBreakHyphen/>
        <w:t xml:space="preserve">traffic results </w:t>
      </w:r>
    </w:p>
    <w:p>
      <w:pPr>
        <w:pStyle w:val="BodyText"/>
        <w:numPr>
          <w:ilvl w:val="0"/>
          <w:numId w:val="3"/>
        </w:numPr>
        <w:tabs>
          <w:tab w:val="clear" w:pos="1134"/>
          <w:tab w:val="left" w:pos="709" w:leader="none"/>
        </w:tabs>
        <w:bidi w:val="0"/>
        <w:spacing w:before="0" w:after="0"/>
        <w:ind w:hanging="283" w:left="709"/>
        <w:rPr/>
      </w:pPr>
      <w:r>
        <w:rPr/>
        <w:t>Table 6.3: Effective bandwidth (memory</w:t>
        <w:noBreakHyphen/>
        <w:t xml:space="preserve">bound evidence) </w:t>
      </w:r>
    </w:p>
    <w:p>
      <w:pPr>
        <w:pStyle w:val="BodyText"/>
        <w:numPr>
          <w:ilvl w:val="0"/>
          <w:numId w:val="3"/>
        </w:numPr>
        <w:tabs>
          <w:tab w:val="clear" w:pos="1134"/>
          <w:tab w:val="left" w:pos="709" w:leader="none"/>
        </w:tabs>
        <w:bidi w:val="0"/>
        <w:spacing w:before="0" w:after="0"/>
        <w:ind w:hanging="283" w:left="709"/>
        <w:rPr/>
      </w:pPr>
      <w:r>
        <w:rPr/>
        <w:t>Table 6.4: Output</w:t>
        <w:noBreakHyphen/>
        <w:t xml:space="preserve">quality scores </w:t>
      </w:r>
    </w:p>
    <w:p>
      <w:pPr>
        <w:pStyle w:val="BodyText"/>
        <w:numPr>
          <w:ilvl w:val="0"/>
          <w:numId w:val="3"/>
        </w:numPr>
        <w:tabs>
          <w:tab w:val="clear" w:pos="1134"/>
          <w:tab w:val="left" w:pos="709" w:leader="none"/>
        </w:tabs>
        <w:bidi w:val="0"/>
        <w:ind w:hanging="283" w:left="709"/>
        <w:rPr/>
      </w:pPr>
      <w:r>
        <w:rPr/>
        <w:t xml:space="preserve">Table 7.1: Proposed optimisation tracks </w:t>
      </w:r>
    </w:p>
    <w:p>
      <w:pPr>
        <w:pStyle w:val="Heading2"/>
        <w:bidi w:val="0"/>
        <w:jc w:val="left"/>
        <w:rPr/>
      </w:pPr>
      <w:r>
        <w:rPr/>
        <w:t>List of Abbreviations</w:t>
      </w:r>
    </w:p>
    <w:p>
      <w:pPr>
        <w:pStyle w:val="BodyText"/>
        <w:bidi w:val="0"/>
        <w:rPr/>
      </w:pPr>
      <w:r>
        <w:rPr/>
        <w:t>ALU — Arithmetic Logic Unit; AXI — Advanced eXtensible Interface; BRAM — Block RAM; CRPR — Clock Reconvergence Pessimism Removal; DDR — Double Data Rate (memory); DMA — Direct Memory Access; FPGA — Field</w:t>
        <w:noBreakHyphen/>
        <w:t>Programmable Gate Array; FFN — Feed</w:t>
        <w:noBreakHyphen/>
        <w:t>Forward Network; GGUF — GPT</w:t>
        <w:noBreakHyphen/>
        <w:t>Generated Unified Format; HP — High</w:t>
        <w:noBreakHyphen/>
        <w:t>Performance (AXI port); KV — Key/Value; LLM — Large Language Model; LUT — Look</w:t>
        <w:noBreakHyphen/>
        <w:t>Up Table; MMCM — Mixed</w:t>
        <w:noBreakHyphen/>
        <w:t>Mode Clock Manager; OCM — On</w:t>
        <w:noBreakHyphen/>
        <w:t>Chip Memory; PL — Programmable Logic; PMU — Performance</w:t>
        <w:noBreakHyphen/>
        <w:t>Monitoring Unit; PS — Processing System; RoPE — Rotary Position Embedding; RMSNorm — Root</w:t>
        <w:noBreakHyphen/>
        <w:t>Mean</w:t>
        <w:noBreakHyphen/>
        <w:t>Square Normalisation; TTFT — Time To First Token; WNS/WHS — Worst Negative/ Hold Slack; ZUF — ztachip Unified Format.</w:t>
      </w:r>
    </w:p>
    <w:p>
      <w:pPr>
        <w:pStyle w:val="HorizontalLine"/>
        <w:bidi w:val="0"/>
        <w:jc w:val="left"/>
        <w:rPr/>
      </w:pPr>
      <w:r>
        <w:rPr/>
      </w:r>
    </w:p>
    <w:p>
      <w:pPr>
        <w:pStyle w:val="Heading1chapter"/>
        <w:bidi w:val="0"/>
        <w:jc w:val="left"/>
        <w:rPr/>
      </w:pPr>
      <w:r>
        <w:rPr/>
        <w:t>Chapter 1 — Introduction</w:t>
      </w:r>
    </w:p>
    <w:p>
      <w:pPr>
        <w:pStyle w:val="Heading2"/>
        <w:bidi w:val="0"/>
        <w:jc w:val="left"/>
        <w:rPr/>
      </w:pPr>
      <w:r>
        <w:rPr/>
        <w:t>1.1 Background and Motivation</w:t>
      </w:r>
    </w:p>
    <w:p>
      <w:pPr>
        <w:pStyle w:val="BodyText"/>
        <w:bidi w:val="0"/>
        <w:rPr/>
      </w:pPr>
      <w:r>
        <w:rPr/>
        <w:t>Large Language Models have rapidly become central to natural</w:t>
        <w:noBreakHyphen/>
        <w:t>language applications, but their deployment is dominated by power</w:t>
        <w:noBreakHyphen/>
        <w:t>intensive graphics processing units (GPUs) in data</w:t>
        <w:noBreakHyphen/>
        <w:t xml:space="preserve">centre environments. There is growing interest in </w:t>
      </w:r>
      <w:r>
        <w:rPr>
          <w:rStyle w:val="Strong"/>
        </w:rPr>
        <w:t>edge inference</w:t>
      </w:r>
      <w:r>
        <w:rPr/>
        <w:t xml:space="preserve"> — executing models locally on constrained hardware — for reasons of latency, privacy, cost, and energy. FPGAs are an attractive substrate for such work because their datapaths can be specialised to the regular, multiply</w:t>
        <w:noBreakHyphen/>
        <w:t>accumulate</w:t>
        <w:noBreakHyphen/>
        <w:t>dominated computation of neural networks, and because their per</w:t>
        <w:noBreakHyphen/>
        <w:t>inference energy can be competitive at low clock frequencies.</w:t>
      </w:r>
    </w:p>
    <w:p>
      <w:pPr>
        <w:pStyle w:val="BodyText"/>
        <w:bidi w:val="0"/>
        <w:rPr/>
      </w:pPr>
      <w:r>
        <w:rPr/>
        <w:t>This project examines that proposition concretely. It takes an existing open</w:t>
        <w:noBreakHyphen/>
        <w:t xml:space="preserve">source AI accelerator, </w:t>
      </w:r>
      <w:r>
        <w:rPr>
          <w:rStyle w:val="Strong"/>
        </w:rPr>
        <w:t>ztachip</w:t>
      </w:r>
      <w:r>
        <w:rPr/>
        <w:t xml:space="preserve">, and an existing small language model, </w:t>
      </w:r>
      <w:r>
        <w:rPr>
          <w:rStyle w:val="Strong"/>
        </w:rPr>
        <w:t>SmolLM2</w:t>
      </w:r>
      <w:r>
        <w:rPr/>
        <w:t xml:space="preserve">, and asks: </w:t>
      </w:r>
      <w:r>
        <w:rPr>
          <w:rStyle w:val="Emphasis"/>
        </w:rPr>
        <w:t>can they be made to run together on an inexpensive, resource</w:t>
        <w:noBreakHyphen/>
        <w:t>constrained FPGA development board, and what limits their performance once they do?</w:t>
      </w:r>
      <w:r>
        <w:rPr/>
        <w:t xml:space="preserve"> Answering this required not only systems</w:t>
        <w:noBreakHyphen/>
        <w:t>integration engineering but also rigorous functional verification and quantitative performance analysis.</w:t>
      </w:r>
    </w:p>
    <w:p>
      <w:pPr>
        <w:pStyle w:val="Heading2"/>
        <w:bidi w:val="0"/>
        <w:jc w:val="left"/>
        <w:rPr/>
      </w:pPr>
      <w:r>
        <w:rPr/>
        <w:t>1.2 Problem Statement</w:t>
      </w:r>
    </w:p>
    <w:p>
      <w:pPr>
        <w:pStyle w:val="BodyText"/>
        <w:bidi w:val="0"/>
        <w:rPr/>
      </w:pPr>
      <w:r>
        <w:rPr/>
        <w:t>The ztachip reference design is configured for an Artix</w:t>
        <w:noBreakHyphen/>
        <w:t>7 (Arty A7) platform that provides an external DDR3 memory controller and an Ethernet interface for model transport. The selected target, the Xilinx Zynq</w:t>
        <w:noBreakHyphen/>
        <w:t>7000 (XC7Z020) on the ZC702 board, differs fundamentally: memory and clocking are owned by a hard ARM Processing System, and the chosen minimal configuration exposes neither a soft memory controller nor a usable Ethernet or serial path to the Programmable Logic. Mapping ztachip onto this platform therefore demands a re</w:t>
        <w:noBreakHyphen/>
        <w:t>hosting of the accelerator's environment, a new mechanism for delivering the model into memory, a new host</w:t>
        <w:noBreakHyphen/>
        <w:t>device communication channel, and the resolution of platform</w:t>
        <w:noBreakHyphen/>
        <w:t>specific hardware and software faults — all while preserving the accelerator core unchanged so that the existing software stack continues to function.</w:t>
      </w:r>
    </w:p>
    <w:p>
      <w:pPr>
        <w:pStyle w:val="Heading2"/>
        <w:bidi w:val="0"/>
        <w:jc w:val="left"/>
        <w:rPr/>
      </w:pPr>
      <w:r>
        <w:rPr/>
        <w:t>1.3 Objectives</w:t>
      </w:r>
    </w:p>
    <w:p>
      <w:pPr>
        <w:pStyle w:val="BodyText"/>
        <w:numPr>
          <w:ilvl w:val="0"/>
          <w:numId w:val="4"/>
        </w:numPr>
        <w:tabs>
          <w:tab w:val="clear" w:pos="1134"/>
          <w:tab w:val="left" w:pos="709" w:leader="none"/>
        </w:tabs>
        <w:bidi w:val="0"/>
        <w:ind w:hanging="283" w:left="709"/>
        <w:rPr/>
      </w:pPr>
      <w:r>
        <w:rPr/>
        <w:t xml:space="preserve">Port the ztachip accelerator and its VexRiscv host processor onto the ZC702 platform with </w:t>
      </w:r>
    </w:p>
    <w:p>
      <w:pPr>
        <w:pStyle w:val="BodyText"/>
        <w:bidi w:val="0"/>
        <w:rPr/>
      </w:pPr>
      <w:r>
        <w:rPr/>
        <w:t>the ARM PS restricted to memory and clock provision.</w:t>
      </w:r>
    </w:p>
    <w:p>
      <w:pPr>
        <w:pStyle w:val="BodyText"/>
        <w:numPr>
          <w:ilvl w:val="0"/>
          <w:numId w:val="5"/>
        </w:numPr>
        <w:tabs>
          <w:tab w:val="clear" w:pos="1134"/>
          <w:tab w:val="left" w:pos="709" w:leader="none"/>
        </w:tabs>
        <w:bidi w:val="0"/>
        <w:spacing w:before="0" w:after="0"/>
        <w:ind w:hanging="283" w:left="709"/>
        <w:rPr/>
      </w:pPr>
      <w:r>
        <w:rPr/>
        <w:t>Achieve static</w:t>
        <w:noBreakHyphen/>
        <w:t xml:space="preserve">timing closure for the integrated design. </w:t>
      </w:r>
    </w:p>
    <w:p>
      <w:pPr>
        <w:pStyle w:val="BodyText"/>
        <w:numPr>
          <w:ilvl w:val="0"/>
          <w:numId w:val="5"/>
        </w:numPr>
        <w:tabs>
          <w:tab w:val="clear" w:pos="1134"/>
          <w:tab w:val="left" w:pos="709" w:leader="none"/>
        </w:tabs>
        <w:bidi w:val="0"/>
        <w:ind w:hanging="283" w:left="709"/>
        <w:rPr/>
      </w:pPr>
      <w:r>
        <w:rPr/>
        <w:t xml:space="preserve">Establish a reliable means of loading the model into DDR memory and of communicating with the </w:t>
      </w:r>
    </w:p>
    <w:p>
      <w:pPr>
        <w:pStyle w:val="BodyText"/>
        <w:bidi w:val="0"/>
        <w:rPr/>
      </w:pPr>
      <w:r>
        <w:rPr/>
        <w:t>running system in the absence of conventional I/O.</w:t>
      </w:r>
    </w:p>
    <w:p>
      <w:pPr>
        <w:pStyle w:val="BodyText"/>
        <w:numPr>
          <w:ilvl w:val="0"/>
          <w:numId w:val="6"/>
        </w:numPr>
        <w:tabs>
          <w:tab w:val="clear" w:pos="1134"/>
          <w:tab w:val="left" w:pos="709" w:leader="none"/>
        </w:tabs>
        <w:bidi w:val="0"/>
        <w:spacing w:before="0" w:after="0"/>
        <w:ind w:hanging="283" w:left="709"/>
        <w:rPr/>
      </w:pPr>
      <w:r>
        <w:rPr/>
        <w:t>Bring up end</w:t>
        <w:noBreakHyphen/>
        <w:t>to</w:t>
        <w:noBreakHyphen/>
        <w:t xml:space="preserve">end LLM inference (SmolLM2) on the board. </w:t>
      </w:r>
    </w:p>
    <w:p>
      <w:pPr>
        <w:pStyle w:val="BodyText"/>
        <w:numPr>
          <w:ilvl w:val="0"/>
          <w:numId w:val="6"/>
        </w:numPr>
        <w:tabs>
          <w:tab w:val="clear" w:pos="1134"/>
          <w:tab w:val="left" w:pos="709" w:leader="none"/>
        </w:tabs>
        <w:bidi w:val="0"/>
        <w:spacing w:before="0" w:after="0"/>
        <w:ind w:hanging="283" w:left="709"/>
        <w:rPr/>
      </w:pPr>
      <w:r>
        <w:rPr/>
        <w:t xml:space="preserve">Verify the correctness of the accelerator's compute kernels on real hardware. </w:t>
      </w:r>
    </w:p>
    <w:p>
      <w:pPr>
        <w:pStyle w:val="BodyText"/>
        <w:numPr>
          <w:ilvl w:val="0"/>
          <w:numId w:val="6"/>
        </w:numPr>
        <w:tabs>
          <w:tab w:val="clear" w:pos="1134"/>
          <w:tab w:val="left" w:pos="709" w:leader="none"/>
        </w:tabs>
        <w:bidi w:val="0"/>
        <w:spacing w:before="0" w:after="0"/>
        <w:ind w:hanging="283" w:left="709"/>
        <w:rPr/>
      </w:pPr>
      <w:r>
        <w:rPr/>
        <w:t xml:space="preserve">Instrument the design and characterise its performance, identifying the dominant bottleneck. </w:t>
      </w:r>
    </w:p>
    <w:p>
      <w:pPr>
        <w:pStyle w:val="BodyText"/>
        <w:numPr>
          <w:ilvl w:val="0"/>
          <w:numId w:val="6"/>
        </w:numPr>
        <w:tabs>
          <w:tab w:val="clear" w:pos="1134"/>
          <w:tab w:val="left" w:pos="709" w:leader="none"/>
        </w:tabs>
        <w:bidi w:val="0"/>
        <w:ind w:hanging="283" w:left="709"/>
        <w:rPr/>
      </w:pPr>
      <w:r>
        <w:rPr/>
        <w:t xml:space="preserve">Propose a substantiated optimisation plan. </w:t>
      </w:r>
    </w:p>
    <w:p>
      <w:pPr>
        <w:pStyle w:val="Heading2"/>
        <w:bidi w:val="0"/>
        <w:jc w:val="left"/>
        <w:rPr/>
      </w:pPr>
      <w:r>
        <w:rPr/>
        <w:t>1.4 Scope and Limitations</w:t>
      </w:r>
    </w:p>
    <w:p>
      <w:pPr>
        <w:pStyle w:val="BodyText"/>
        <w:bidi w:val="0"/>
        <w:rPr/>
      </w:pPr>
      <w:r>
        <w:rPr/>
        <w:t>The work concerns functional bring</w:t>
        <w:noBreakHyphen/>
        <w:t xml:space="preserve">up, correctness verification, and performance characterisation. It does </w:t>
      </w:r>
      <w:r>
        <w:rPr>
          <w:rStyle w:val="Strong"/>
        </w:rPr>
        <w:t>not</w:t>
      </w:r>
      <w:r>
        <w:rPr/>
        <w:t xml:space="preserve"> include: (i) direct measurement of electrical power, which remains an open item requiring rail</w:t>
        <w:noBreakHyphen/>
        <w:t>level instrumentation; (ii) modification of the ztachip compute core, which is deliberately retained unchanged; or (iii) support for non</w:t>
        <w:noBreakHyphen/>
        <w:t>LLaMA</w:t>
        <w:noBreakHyphen/>
        <w:t>family models such as Qwen, whose metadata schema and attention structure are incompatible with the current converter and firmware. Performance projections for the proposed optimisations (Chapter 7) are analytical estimates, not measured results.</w:t>
      </w:r>
    </w:p>
    <w:p>
      <w:pPr>
        <w:pStyle w:val="Heading2"/>
        <w:bidi w:val="0"/>
        <w:jc w:val="left"/>
        <w:rPr/>
      </w:pPr>
      <w:r>
        <w:rPr/>
        <w:t>1.5 Contributions</w:t>
      </w:r>
    </w:p>
    <w:p>
      <w:pPr>
        <w:pStyle w:val="BodyText"/>
        <w:bidi w:val="0"/>
        <w:rPr/>
      </w:pPr>
      <w:r>
        <w:rPr/>
        <w:t>The principal contributions of this project are:</w:t>
      </w:r>
    </w:p>
    <w:p>
      <w:pPr>
        <w:pStyle w:val="BodyText"/>
        <w:numPr>
          <w:ilvl w:val="0"/>
          <w:numId w:val="7"/>
        </w:numPr>
        <w:tabs>
          <w:tab w:val="clear" w:pos="1134"/>
          <w:tab w:val="left" w:pos="709" w:leader="none"/>
        </w:tabs>
        <w:bidi w:val="0"/>
        <w:ind w:hanging="283" w:left="709"/>
        <w:rPr/>
      </w:pPr>
      <w:r>
        <w:rPr/>
        <w:t>A complete platform re</w:t>
        <w:noBreakHyphen/>
        <w:t>hosting of ztachip from Artix</w:t>
        <w:noBreakHyphen/>
        <w:t>7 to Zynq</w:t>
        <w:noBreakHyphen/>
        <w:t xml:space="preserve">7000, with the PS confined to </w:t>
      </w:r>
    </w:p>
    <w:p>
      <w:pPr>
        <w:pStyle w:val="BodyText"/>
        <w:bidi w:val="0"/>
        <w:rPr/>
      </w:pPr>
      <w:r>
        <w:rPr/>
        <w:t>memory and clock roles (Chapter 3).</w:t>
      </w:r>
    </w:p>
    <w:p>
      <w:pPr>
        <w:pStyle w:val="BodyText"/>
        <w:numPr>
          <w:ilvl w:val="0"/>
          <w:numId w:val="8"/>
        </w:numPr>
        <w:tabs>
          <w:tab w:val="clear" w:pos="1134"/>
          <w:tab w:val="left" w:pos="709" w:leader="none"/>
        </w:tabs>
        <w:bidi w:val="0"/>
        <w:ind w:hanging="283" w:left="709"/>
        <w:rPr/>
      </w:pPr>
      <w:r>
        <w:rPr/>
        <w:t>A single</w:t>
        <w:noBreakHyphen/>
        <w:t xml:space="preserve">root clocking solution that achieves timing closure at an exact 2:1 clock ratio </w:t>
      </w:r>
    </w:p>
    <w:p>
      <w:pPr>
        <w:pStyle w:val="BodyText"/>
        <w:bidi w:val="0"/>
        <w:rPr/>
      </w:pPr>
      <w:r>
        <w:rPr/>
        <w:t>(Section 3.3, Appendix A).</w:t>
      </w:r>
    </w:p>
    <w:p>
      <w:pPr>
        <w:pStyle w:val="BodyText"/>
        <w:numPr>
          <w:ilvl w:val="0"/>
          <w:numId w:val="9"/>
        </w:numPr>
        <w:tabs>
          <w:tab w:val="clear" w:pos="1134"/>
          <w:tab w:val="left" w:pos="709" w:leader="none"/>
        </w:tabs>
        <w:bidi w:val="0"/>
        <w:ind w:hanging="283" w:left="709"/>
        <w:rPr/>
      </w:pPr>
      <w:r>
        <w:rPr/>
        <w:t>A two</w:t>
        <w:noBreakHyphen/>
        <w:t xml:space="preserve">stage firmware boot and a JTAG/DDR mailbox console that overcome, respectively, the Zynq </w:t>
      </w:r>
    </w:p>
    <w:p>
      <w:pPr>
        <w:pStyle w:val="BodyText"/>
        <w:bidi w:val="0"/>
        <w:rPr/>
      </w:pPr>
      <w:r>
        <w:rPr/>
        <w:t>reserved</w:t>
        <w:noBreakHyphen/>
        <w:t>memory region and the absence of a serial interface (Sections 3.4–3.5).</w:t>
      </w:r>
    </w:p>
    <w:p>
      <w:pPr>
        <w:pStyle w:val="BodyText"/>
        <w:numPr>
          <w:ilvl w:val="0"/>
          <w:numId w:val="10"/>
        </w:numPr>
        <w:tabs>
          <w:tab w:val="clear" w:pos="1134"/>
          <w:tab w:val="left" w:pos="709" w:leader="none"/>
        </w:tabs>
        <w:bidi w:val="0"/>
        <w:ind w:hanging="283" w:left="709"/>
        <w:rPr/>
      </w:pPr>
      <w:r>
        <w:rPr/>
        <w:t>Identification and elimination of a class of silent misaligned</w:t>
        <w:noBreakHyphen/>
        <w:t xml:space="preserve">load processor traps that </w:t>
      </w:r>
    </w:p>
    <w:p>
      <w:pPr>
        <w:pStyle w:val="BodyText"/>
        <w:bidi w:val="0"/>
        <w:rPr/>
      </w:pPr>
      <w:r>
        <w:rPr/>
        <w:t>prevented model loading (Section 4.5).</w:t>
      </w:r>
    </w:p>
    <w:p>
      <w:pPr>
        <w:pStyle w:val="BodyText"/>
        <w:numPr>
          <w:ilvl w:val="0"/>
          <w:numId w:val="11"/>
        </w:numPr>
        <w:tabs>
          <w:tab w:val="clear" w:pos="1134"/>
          <w:tab w:val="left" w:pos="709" w:leader="none"/>
        </w:tabs>
        <w:bidi w:val="0"/>
        <w:ind w:hanging="283" w:left="709"/>
        <w:rPr/>
      </w:pPr>
      <w:r>
        <w:rPr/>
        <w:t>An on</w:t>
        <w:noBreakHyphen/>
        <w:t>silicon kernel self</w:t>
        <w:noBreakHyphen/>
        <w:t>test establishing the bit</w:t>
        <w:noBreakHyphen/>
        <w:t xml:space="preserve">exact correctness of all eleven LLM compute </w:t>
      </w:r>
    </w:p>
    <w:p>
      <w:pPr>
        <w:pStyle w:val="BodyText"/>
        <w:bidi w:val="0"/>
        <w:rPr/>
      </w:pPr>
      <w:r>
        <w:rPr/>
        <w:t>kernels, including those intractable to simulate (Chapter 5).</w:t>
      </w:r>
    </w:p>
    <w:p>
      <w:pPr>
        <w:pStyle w:val="BodyText"/>
        <w:numPr>
          <w:ilvl w:val="0"/>
          <w:numId w:val="12"/>
        </w:numPr>
        <w:tabs>
          <w:tab w:val="clear" w:pos="1134"/>
          <w:tab w:val="left" w:pos="709" w:leader="none"/>
        </w:tabs>
        <w:bidi w:val="0"/>
        <w:ind w:hanging="283" w:left="709"/>
        <w:rPr/>
      </w:pPr>
      <w:r>
        <w:rPr/>
        <w:t>A two</w:t>
        <w:noBreakHyphen/>
        <w:t>axis experimental demonstration that the system is memory</w:t>
        <w:noBreakHyphen/>
        <w:t>bandwidth</w:t>
        <w:noBreakHyphen/>
        <w:t xml:space="preserve">bound, with supporting </w:t>
      </w:r>
    </w:p>
    <w:p>
      <w:pPr>
        <w:pStyle w:val="BodyText"/>
        <w:bidi w:val="0"/>
        <w:rPr/>
      </w:pPr>
      <w:r>
        <w:rPr/>
        <w:t>on</w:t>
        <w:noBreakHyphen/>
        <w:t>chip instrumentation (Chapter 6).</w:t>
      </w:r>
    </w:p>
    <w:p>
      <w:pPr>
        <w:pStyle w:val="Heading2"/>
        <w:bidi w:val="0"/>
        <w:jc w:val="left"/>
        <w:rPr/>
      </w:pPr>
      <w:r>
        <w:rPr/>
        <w:t>1.6 Report Organisation</w:t>
      </w:r>
    </w:p>
    <w:p>
      <w:pPr>
        <w:pStyle w:val="BodyText"/>
        <w:bidi w:val="0"/>
        <w:rPr/>
      </w:pPr>
      <w:r>
        <w:rPr/>
        <w:t>Chapter 2 reviews the relevant hardware and machine</w:t>
        <w:noBreakHyphen/>
        <w:t>learning background. Chapter 3 presents the system architecture and the principal design decisions. Chapter 4 details the implementation and bring</w:t>
        <w:noBreakHyphen/>
        <w:t>up methodology, including the engineering challenges encountered. Chapter 5 describes the functional verification of the compute kernels. Chapter 6 reports the performance characterisation and the memory</w:t>
        <w:noBreakHyphen/>
        <w:t>bound analysis. Chapter 7 proposes future optimisations. Chapter 8 concludes. Appendices provide the timing analysis, reproduction procedures, and a memory</w:t>
        <w:noBreakHyphen/>
        <w:t>map reference.</w:t>
      </w:r>
    </w:p>
    <w:p>
      <w:pPr>
        <w:pStyle w:val="HorizontalLine"/>
        <w:bidi w:val="0"/>
        <w:jc w:val="left"/>
        <w:rPr/>
      </w:pPr>
      <w:r>
        <w:rPr/>
      </w:r>
    </w:p>
    <w:p>
      <w:pPr>
        <w:pStyle w:val="Heading1chapter"/>
        <w:bidi w:val="0"/>
        <w:jc w:val="left"/>
        <w:rPr/>
      </w:pPr>
      <w:r>
        <w:rPr/>
        <w:t>Chapter 2 — Background and Related Work</w:t>
      </w:r>
    </w:p>
    <w:p>
      <w:pPr>
        <w:pStyle w:val="Heading2"/>
        <w:bidi w:val="0"/>
        <w:jc w:val="left"/>
        <w:rPr/>
      </w:pPr>
      <w:r>
        <w:rPr/>
        <w:t>2.1 Field</w:t>
        <w:noBreakHyphen/>
        <w:t>Programmable Gate Arrays</w:t>
      </w:r>
    </w:p>
    <w:p>
      <w:pPr>
        <w:pStyle w:val="BodyText"/>
        <w:bidi w:val="0"/>
        <w:rPr/>
      </w:pPr>
      <w:r>
        <w:rPr/>
        <w:t>A Field</w:t>
        <w:noBreakHyphen/>
        <w:t>Programmable Gate Array is an integrated circuit whose digital logic can be configured after manufacture. A circuit is described in a hardware</w:t>
        <w:noBreakHyphen/>
        <w:t>description language (VHDL/Verilog), synthesised and placed</w:t>
        <w:noBreakHyphen/>
        <w:t>and</w:t>
        <w:noBreakHyphen/>
        <w:t xml:space="preserve">routed by vendor tools, and emitted as a </w:t>
      </w:r>
      <w:r>
        <w:rPr>
          <w:rStyle w:val="Emphasis"/>
        </w:rPr>
        <w:t>bitstream</w:t>
      </w:r>
      <w:r>
        <w:rPr/>
        <w:t xml:space="preserve"> that configures the device's look</w:t>
        <w:noBreakHyphen/>
        <w:t>up tables (LUTs), flip</w:t>
        <w:noBreakHyphen/>
        <w:t xml:space="preserve">flops, block RAMs (BRAMs), and dedicated multipliers (DSP slices). The distinction between </w:t>
      </w:r>
      <w:r>
        <w:rPr>
          <w:rStyle w:val="Emphasis"/>
        </w:rPr>
        <w:t>building</w:t>
      </w:r>
      <w:r>
        <w:rPr/>
        <w:t xml:space="preserve"> a bitstream (synthesis through implementation, requiring hours of tool time) and </w:t>
      </w:r>
      <w:r>
        <w:rPr>
          <w:rStyle w:val="Emphasis"/>
        </w:rPr>
        <w:t>programming</w:t>
      </w:r>
      <w:r>
        <w:rPr/>
        <w:t xml:space="preserve"> a device with an existing bitstream (a sub</w:t>
        <w:noBreakHyphen/>
        <w:t>second configuration operation) is operationally important throughout this report.</w:t>
      </w:r>
    </w:p>
    <w:p>
      <w:pPr>
        <w:pStyle w:val="Heading2"/>
        <w:bidi w:val="0"/>
        <w:jc w:val="left"/>
        <w:rPr/>
      </w:pPr>
      <w:r>
        <w:rPr/>
        <w:t>2.2 The Xilinx Zynq</w:t>
        <w:noBreakHyphen/>
        <w:t>7000 SoC and the ZC702 Platform</w:t>
      </w:r>
    </w:p>
    <w:p>
      <w:pPr>
        <w:pStyle w:val="BodyText"/>
        <w:bidi w:val="0"/>
        <w:rPr/>
      </w:pPr>
      <w:r>
        <w:rPr/>
        <w:t>The Zynq</w:t>
        <w:noBreakHyphen/>
        <w:t>7000 (XC7Z020) is a System</w:t>
        <w:noBreakHyphen/>
        <w:t>on</w:t>
        <w:noBreakHyphen/>
        <w:t xml:space="preserve">Chip integrating two domains on one die: a </w:t>
      </w:r>
      <w:r>
        <w:rPr>
          <w:rStyle w:val="Strong"/>
        </w:rPr>
        <w:t>Processing System (PS)</w:t>
      </w:r>
      <w:r>
        <w:rPr/>
        <w:t xml:space="preserve"> containing a hard dual</w:t>
        <w:noBreakHyphen/>
        <w:t>core ARM Cortex</w:t>
        <w:noBreakHyphen/>
        <w:t xml:space="preserve">A9 and a DDR memory controller, and a </w:t>
      </w:r>
      <w:r>
        <w:rPr>
          <w:rStyle w:val="Strong"/>
        </w:rPr>
        <w:t>Programmable Logic (PL)</w:t>
      </w:r>
      <w:r>
        <w:rPr/>
        <w:t xml:space="preserve"> containing the FPGA fabric. The two are connected by AXI interfaces; in particular, the 64</w:t>
        <w:noBreakHyphen/>
        <w:t xml:space="preserve">bit </w:t>
      </w:r>
      <w:r>
        <w:rPr>
          <w:rStyle w:val="Strong"/>
        </w:rPr>
        <w:t>S_AXI_HP0</w:t>
      </w:r>
      <w:r>
        <w:rPr/>
        <w:t xml:space="preserve"> high</w:t>
        <w:noBreakHyphen/>
        <w:t>performance port allows logic in the PL to access PS DDR memory. The ZC702 is a development board built around this device. Table 2.1 reports the resource utilisation of the integrated design produced in this work.</w:t>
      </w:r>
    </w:p>
    <w:p>
      <w:pPr>
        <w:pStyle w:val="BodyText"/>
        <w:bidi w:val="0"/>
        <w:rPr/>
      </w:pPr>
      <w:r>
        <w:rPr>
          <w:rStyle w:val="Strong"/>
        </w:rPr>
        <w:t>Table 2.1 — FPGA resource utilisation of the integrated design (XC7Z020).</w:t>
      </w:r>
    </w:p>
    <w:tbl>
      <w:tblPr>
        <w:tblW w:w="4474" w:type="dxa"/>
        <w:jc w:val="left"/>
        <w:tblInd w:w="0" w:type="dxa"/>
        <w:tblLayout w:type="fixed"/>
        <w:tblCellMar>
          <w:top w:w="28" w:type="dxa"/>
          <w:left w:w="28" w:type="dxa"/>
          <w:bottom w:w="28" w:type="dxa"/>
          <w:right w:w="28" w:type="dxa"/>
        </w:tblCellMar>
      </w:tblPr>
      <w:tblGrid>
        <w:gridCol w:w="1606"/>
        <w:gridCol w:w="721"/>
        <w:gridCol w:w="1006"/>
        <w:gridCol w:w="1141"/>
      </w:tblGrid>
      <w:tr>
        <w:trPr>
          <w:tblHeader w:val="true"/>
        </w:trPr>
        <w:tc>
          <w:tcPr>
            <w:tcW w:w="1606" w:type="dxa"/>
            <w:tcBorders/>
            <w:vAlign w:val="center"/>
          </w:tcPr>
          <w:p>
            <w:pPr>
              <w:pStyle w:val="TableHeading"/>
              <w:bidi w:val="0"/>
              <w:spacing w:before="0" w:after="283"/>
              <w:ind w:hanging="0" w:left="0" w:right="0"/>
              <w:jc w:val="left"/>
              <w:rPr/>
            </w:pPr>
            <w:r>
              <w:rPr/>
              <w:t>Resource</w:t>
            </w:r>
          </w:p>
        </w:tc>
        <w:tc>
          <w:tcPr>
            <w:tcW w:w="721" w:type="dxa"/>
            <w:tcBorders/>
            <w:vAlign w:val="center"/>
          </w:tcPr>
          <w:p>
            <w:pPr>
              <w:pStyle w:val="TableHeading"/>
              <w:bidi w:val="0"/>
              <w:spacing w:before="0" w:after="283"/>
              <w:ind w:hanging="0" w:left="0" w:right="0"/>
              <w:jc w:val="right"/>
              <w:rPr/>
            </w:pPr>
            <w:r>
              <w:rPr/>
              <w:t>Used</w:t>
            </w:r>
          </w:p>
        </w:tc>
        <w:tc>
          <w:tcPr>
            <w:tcW w:w="1006" w:type="dxa"/>
            <w:tcBorders/>
            <w:vAlign w:val="center"/>
          </w:tcPr>
          <w:p>
            <w:pPr>
              <w:pStyle w:val="TableHeading"/>
              <w:bidi w:val="0"/>
              <w:spacing w:before="0" w:after="283"/>
              <w:ind w:hanging="0" w:left="0" w:right="0"/>
              <w:jc w:val="right"/>
              <w:rPr/>
            </w:pPr>
            <w:r>
              <w:rPr/>
              <w:t>Available</w:t>
            </w:r>
          </w:p>
        </w:tc>
        <w:tc>
          <w:tcPr>
            <w:tcW w:w="1141" w:type="dxa"/>
            <w:tcBorders/>
            <w:vAlign w:val="center"/>
          </w:tcPr>
          <w:p>
            <w:pPr>
              <w:pStyle w:val="TableHeading"/>
              <w:bidi w:val="0"/>
              <w:spacing w:before="0" w:after="283"/>
              <w:ind w:hanging="0" w:left="0" w:right="0"/>
              <w:jc w:val="right"/>
              <w:rPr/>
            </w:pPr>
            <w:r>
              <w:rPr/>
              <w:t>Utilisation</w:t>
            </w:r>
          </w:p>
        </w:tc>
      </w:tr>
      <w:tr>
        <w:trPr/>
        <w:tc>
          <w:tcPr>
            <w:tcW w:w="1606" w:type="dxa"/>
            <w:tcBorders/>
            <w:vAlign w:val="center"/>
          </w:tcPr>
          <w:p>
            <w:pPr>
              <w:pStyle w:val="TableContents"/>
              <w:bidi w:val="0"/>
              <w:spacing w:before="0" w:after="283"/>
              <w:ind w:hanging="0" w:left="0" w:right="0"/>
              <w:jc w:val="left"/>
              <w:rPr/>
            </w:pPr>
            <w:r>
              <w:rPr/>
              <w:t>Slice LUTs</w:t>
            </w:r>
          </w:p>
        </w:tc>
        <w:tc>
          <w:tcPr>
            <w:tcW w:w="721" w:type="dxa"/>
            <w:tcBorders/>
            <w:vAlign w:val="center"/>
          </w:tcPr>
          <w:p>
            <w:pPr>
              <w:pStyle w:val="TableContents"/>
              <w:bidi w:val="0"/>
              <w:spacing w:before="0" w:after="283"/>
              <w:ind w:hanging="0" w:left="0" w:right="0"/>
              <w:jc w:val="right"/>
              <w:rPr/>
            </w:pPr>
            <w:r>
              <w:rPr/>
              <w:t>47,187</w:t>
            </w:r>
          </w:p>
        </w:tc>
        <w:tc>
          <w:tcPr>
            <w:tcW w:w="1006" w:type="dxa"/>
            <w:tcBorders/>
            <w:vAlign w:val="center"/>
          </w:tcPr>
          <w:p>
            <w:pPr>
              <w:pStyle w:val="TableContents"/>
              <w:bidi w:val="0"/>
              <w:spacing w:before="0" w:after="283"/>
              <w:ind w:hanging="0" w:left="0" w:right="0"/>
              <w:jc w:val="right"/>
              <w:rPr/>
            </w:pPr>
            <w:r>
              <w:rPr/>
              <w:t>53,200</w:t>
            </w:r>
          </w:p>
        </w:tc>
        <w:tc>
          <w:tcPr>
            <w:tcW w:w="1141" w:type="dxa"/>
            <w:tcBorders/>
            <w:vAlign w:val="center"/>
          </w:tcPr>
          <w:p>
            <w:pPr>
              <w:pStyle w:val="TableContents"/>
              <w:bidi w:val="0"/>
              <w:spacing w:before="0" w:after="283"/>
              <w:ind w:hanging="0" w:left="0" w:right="0"/>
              <w:jc w:val="right"/>
              <w:rPr/>
            </w:pPr>
            <w:r>
              <w:rPr/>
              <w:t>88.7 %</w:t>
            </w:r>
          </w:p>
        </w:tc>
      </w:tr>
      <w:tr>
        <w:trPr/>
        <w:tc>
          <w:tcPr>
            <w:tcW w:w="1606" w:type="dxa"/>
            <w:tcBorders/>
            <w:vAlign w:val="center"/>
          </w:tcPr>
          <w:p>
            <w:pPr>
              <w:pStyle w:val="TableContents"/>
              <w:bidi w:val="0"/>
              <w:spacing w:before="0" w:after="283"/>
              <w:ind w:hanging="0" w:left="0" w:right="0"/>
              <w:jc w:val="left"/>
              <w:rPr/>
            </w:pPr>
            <w:r>
              <w:rPr/>
              <w:t>Slice Registers</w:t>
            </w:r>
          </w:p>
        </w:tc>
        <w:tc>
          <w:tcPr>
            <w:tcW w:w="721" w:type="dxa"/>
            <w:tcBorders/>
            <w:vAlign w:val="center"/>
          </w:tcPr>
          <w:p>
            <w:pPr>
              <w:pStyle w:val="TableContents"/>
              <w:bidi w:val="0"/>
              <w:spacing w:before="0" w:after="283"/>
              <w:ind w:hanging="0" w:left="0" w:right="0"/>
              <w:jc w:val="right"/>
              <w:rPr/>
            </w:pPr>
            <w:r>
              <w:rPr/>
              <w:t>57,828</w:t>
            </w:r>
          </w:p>
        </w:tc>
        <w:tc>
          <w:tcPr>
            <w:tcW w:w="1006" w:type="dxa"/>
            <w:tcBorders/>
            <w:vAlign w:val="center"/>
          </w:tcPr>
          <w:p>
            <w:pPr>
              <w:pStyle w:val="TableContents"/>
              <w:bidi w:val="0"/>
              <w:spacing w:before="0" w:after="283"/>
              <w:ind w:hanging="0" w:left="0" w:right="0"/>
              <w:jc w:val="right"/>
              <w:rPr/>
            </w:pPr>
            <w:r>
              <w:rPr/>
              <w:t>106,400</w:t>
            </w:r>
          </w:p>
        </w:tc>
        <w:tc>
          <w:tcPr>
            <w:tcW w:w="1141" w:type="dxa"/>
            <w:tcBorders/>
            <w:vAlign w:val="center"/>
          </w:tcPr>
          <w:p>
            <w:pPr>
              <w:pStyle w:val="TableContents"/>
              <w:bidi w:val="0"/>
              <w:spacing w:before="0" w:after="283"/>
              <w:ind w:hanging="0" w:left="0" w:right="0"/>
              <w:jc w:val="right"/>
              <w:rPr/>
            </w:pPr>
            <w:r>
              <w:rPr/>
              <w:t>54.3 %</w:t>
            </w:r>
          </w:p>
        </w:tc>
      </w:tr>
      <w:tr>
        <w:trPr/>
        <w:tc>
          <w:tcPr>
            <w:tcW w:w="1606" w:type="dxa"/>
            <w:tcBorders/>
            <w:vAlign w:val="center"/>
          </w:tcPr>
          <w:p>
            <w:pPr>
              <w:pStyle w:val="TableContents"/>
              <w:bidi w:val="0"/>
              <w:spacing w:before="0" w:after="283"/>
              <w:ind w:hanging="0" w:left="0" w:right="0"/>
              <w:jc w:val="left"/>
              <w:rPr/>
            </w:pPr>
            <w:r>
              <w:rPr/>
              <w:t>Block RAM tiles</w:t>
            </w:r>
          </w:p>
        </w:tc>
        <w:tc>
          <w:tcPr>
            <w:tcW w:w="721" w:type="dxa"/>
            <w:tcBorders/>
            <w:vAlign w:val="center"/>
          </w:tcPr>
          <w:p>
            <w:pPr>
              <w:pStyle w:val="TableContents"/>
              <w:bidi w:val="0"/>
              <w:spacing w:before="0" w:after="283"/>
              <w:ind w:hanging="0" w:left="0" w:right="0"/>
              <w:jc w:val="right"/>
              <w:rPr/>
            </w:pPr>
            <w:r>
              <w:rPr/>
              <w:t>128</w:t>
            </w:r>
          </w:p>
        </w:tc>
        <w:tc>
          <w:tcPr>
            <w:tcW w:w="1006" w:type="dxa"/>
            <w:tcBorders/>
            <w:vAlign w:val="center"/>
          </w:tcPr>
          <w:p>
            <w:pPr>
              <w:pStyle w:val="TableContents"/>
              <w:bidi w:val="0"/>
              <w:spacing w:before="0" w:after="283"/>
              <w:ind w:hanging="0" w:left="0" w:right="0"/>
              <w:jc w:val="right"/>
              <w:rPr/>
            </w:pPr>
            <w:r>
              <w:rPr/>
              <w:t>140</w:t>
            </w:r>
          </w:p>
        </w:tc>
        <w:tc>
          <w:tcPr>
            <w:tcW w:w="1141" w:type="dxa"/>
            <w:tcBorders/>
            <w:vAlign w:val="center"/>
          </w:tcPr>
          <w:p>
            <w:pPr>
              <w:pStyle w:val="TableContents"/>
              <w:bidi w:val="0"/>
              <w:spacing w:before="0" w:after="283"/>
              <w:ind w:hanging="0" w:left="0" w:right="0"/>
              <w:jc w:val="right"/>
              <w:rPr/>
            </w:pPr>
            <w:r>
              <w:rPr/>
              <w:t>91.4 %</w:t>
            </w:r>
          </w:p>
        </w:tc>
      </w:tr>
      <w:tr>
        <w:trPr/>
        <w:tc>
          <w:tcPr>
            <w:tcW w:w="1606" w:type="dxa"/>
            <w:tcBorders/>
            <w:vAlign w:val="center"/>
          </w:tcPr>
          <w:p>
            <w:pPr>
              <w:pStyle w:val="TableContents"/>
              <w:bidi w:val="0"/>
              <w:spacing w:before="0" w:after="283"/>
              <w:ind w:hanging="0" w:left="0" w:right="0"/>
              <w:jc w:val="left"/>
              <w:rPr/>
            </w:pPr>
            <w:r>
              <w:rPr/>
              <w:t>DSP slices</w:t>
            </w:r>
          </w:p>
        </w:tc>
        <w:tc>
          <w:tcPr>
            <w:tcW w:w="721" w:type="dxa"/>
            <w:tcBorders/>
            <w:vAlign w:val="center"/>
          </w:tcPr>
          <w:p>
            <w:pPr>
              <w:pStyle w:val="TableContents"/>
              <w:bidi w:val="0"/>
              <w:spacing w:before="0" w:after="283"/>
              <w:ind w:hanging="0" w:left="0" w:right="0"/>
              <w:jc w:val="right"/>
              <w:rPr/>
            </w:pPr>
            <w:r>
              <w:rPr/>
              <w:t>82</w:t>
            </w:r>
          </w:p>
        </w:tc>
        <w:tc>
          <w:tcPr>
            <w:tcW w:w="1006" w:type="dxa"/>
            <w:tcBorders/>
            <w:vAlign w:val="center"/>
          </w:tcPr>
          <w:p>
            <w:pPr>
              <w:pStyle w:val="TableContents"/>
              <w:bidi w:val="0"/>
              <w:spacing w:before="0" w:after="283"/>
              <w:ind w:hanging="0" w:left="0" w:right="0"/>
              <w:jc w:val="right"/>
              <w:rPr/>
            </w:pPr>
            <w:r>
              <w:rPr/>
              <w:t>220</w:t>
            </w:r>
          </w:p>
        </w:tc>
        <w:tc>
          <w:tcPr>
            <w:tcW w:w="1141" w:type="dxa"/>
            <w:tcBorders/>
            <w:vAlign w:val="center"/>
          </w:tcPr>
          <w:p>
            <w:pPr>
              <w:pStyle w:val="TableContents"/>
              <w:bidi w:val="0"/>
              <w:spacing w:before="0" w:after="283"/>
              <w:jc w:val="right"/>
              <w:rPr/>
            </w:pPr>
            <w:r>
              <w:rPr/>
              <w:t>37.3 %</w:t>
            </w:r>
          </w:p>
        </w:tc>
      </w:tr>
    </w:tbl>
    <w:p>
      <w:pPr>
        <w:pStyle w:val="BodyText"/>
        <w:bidi w:val="0"/>
        <w:rPr/>
      </w:pPr>
      <w:r>
        <w:rPr/>
        <w:t>The high LUT and BRAM occupancy (≈ 89 % and 91 %) confirms that the design substantially fills this small device, motivating the use of the compact ztachip configuration and a small model.</w:t>
      </w:r>
    </w:p>
    <w:p>
      <w:pPr>
        <w:pStyle w:val="Heading2"/>
        <w:bidi w:val="0"/>
        <w:jc w:val="left"/>
        <w:rPr/>
      </w:pPr>
      <w:r>
        <w:rPr/>
        <w:t>2.3 The ztachip Accelerator Architecture</w:t>
      </w:r>
    </w:p>
    <w:p>
      <w:pPr>
        <w:pStyle w:val="BodyText"/>
        <w:bidi w:val="0"/>
        <w:rPr/>
      </w:pPr>
      <w:r>
        <w:rPr/>
        <w:t>ztachip is an open</w:t>
        <w:noBreakHyphen/>
        <w:t>source, multi</w:t>
        <w:noBreakHyphen/>
        <w:t>core RISC</w:t>
        <w:noBreakHyphen/>
        <w:t xml:space="preserve">V AI accelerator targeted at edge devices [1]. Its constituent blocks are: a </w:t>
      </w:r>
      <w:r>
        <w:rPr>
          <w:rStyle w:val="Strong"/>
        </w:rPr>
        <w:t>VexRiscv</w:t>
      </w:r>
      <w:r>
        <w:rPr/>
        <w:t xml:space="preserve"> soft RISC</w:t>
        <w:noBreakHyphen/>
        <w:t xml:space="preserve">V processor that executes control firmware; an </w:t>
      </w:r>
      <w:r>
        <w:rPr>
          <w:rStyle w:val="Strong"/>
        </w:rPr>
        <w:t>Mcore</w:t>
      </w:r>
      <w:r>
        <w:rPr/>
        <w:t xml:space="preserve"> scheduler; a </w:t>
      </w:r>
      <w:r>
        <w:rPr>
          <w:rStyle w:val="Strong"/>
        </w:rPr>
        <w:t>dataplane</w:t>
      </w:r>
      <w:r>
        <w:rPr/>
        <w:t xml:space="preserve"> that streams data and instructions; an on</w:t>
        <w:noBreakHyphen/>
        <w:t xml:space="preserve">chip </w:t>
      </w:r>
      <w:r>
        <w:rPr>
          <w:rStyle w:val="Strong"/>
        </w:rPr>
        <w:t>scratch</w:t>
        <w:noBreakHyphen/>
        <w:t>pad SRAM</w:t>
      </w:r>
      <w:r>
        <w:rPr/>
        <w:t xml:space="preserve">; a </w:t>
      </w:r>
      <w:r>
        <w:rPr>
          <w:rStyle w:val="Strong"/>
        </w:rPr>
        <w:t>tensor engine</w:t>
      </w:r>
      <w:r>
        <w:rPr/>
        <w:t xml:space="preserve"> comprising multiple parallel processing cores (Pcores), each with scalar and vector ALUs; and a </w:t>
      </w:r>
      <w:r>
        <w:rPr>
          <w:rStyle w:val="Strong"/>
        </w:rPr>
        <w:t>floating</w:t>
        <w:noBreakHyphen/>
        <w:t>point unit</w:t>
      </w:r>
      <w:r>
        <w:rPr/>
        <w:t xml:space="preserve"> with a vector mode. The tensor engine performs the matrix multiplications that dominate neural</w:t>
        <w:noBreakHyphen/>
        <w:t>network inference. In this work, the entire accelerator — VexRiscv and ztachip — resides in the PL; the control software executes on VexRiscv, not on the ARM PS.</w:t>
      </w:r>
    </w:p>
    <w:p>
      <w:pPr>
        <w:pStyle w:val="BodyText"/>
        <w:bidi w:val="0"/>
        <w:rPr/>
      </w:pPr>
      <w:r>
        <w:rPr/>
        <w:t xml:space="preserve">The LLM workload exercises a fixed set of compute </w:t>
      </w:r>
      <w:r>
        <w:rPr>
          <w:rStyle w:val="Emphasis"/>
        </w:rPr>
        <w:t>kernels</w:t>
      </w:r>
      <w:r>
        <w:rPr/>
        <w:t xml:space="preserve"> implemented on ztachip: INT4/INT8 matrix multiplication (</w:t>
      </w:r>
      <w:r>
        <w:rPr>
          <w:rStyle w:val="SourceText"/>
        </w:rPr>
        <w:t>matmul_q4</w:t>
      </w:r>
      <w:r>
        <w:rPr/>
        <w:t>/</w:t>
      </w:r>
      <w:r>
        <w:rPr>
          <w:rStyle w:val="SourceText"/>
        </w:rPr>
        <w:t>matmul_q8</w:t>
      </w:r>
      <w:r>
        <w:rPr/>
        <w:t>), RMS normalisation (</w:t>
      </w:r>
      <w:r>
        <w:rPr>
          <w:rStyle w:val="SourceText"/>
        </w:rPr>
        <w:t>rms</w:t>
      </w:r>
      <w:r>
        <w:rPr/>
        <w:t>), rotary position embedding (</w:t>
      </w:r>
      <w:r>
        <w:rPr>
          <w:rStyle w:val="SourceText"/>
        </w:rPr>
        <w:t>rope</w:t>
      </w:r>
      <w:r>
        <w:rPr/>
        <w:t xml:space="preserve">), </w:t>
      </w:r>
      <w:r>
        <w:rPr>
          <w:rStyle w:val="SourceText"/>
        </w:rPr>
        <w:t>softmax</w:t>
      </w:r>
      <w:r>
        <w:rPr/>
        <w:t>, residual addition (</w:t>
      </w:r>
      <w:r>
        <w:rPr>
          <w:rStyle w:val="SourceText"/>
        </w:rPr>
        <w:t>residual</w:t>
      </w:r>
      <w:r>
        <w:rPr/>
        <w:t xml:space="preserve">), the SwiGLU activation, the </w:t>
      </w:r>
      <w:r>
        <w:rPr>
          <w:rStyle w:val="SourceText"/>
        </w:rPr>
        <w:t>sine</w:t>
      </w:r>
      <w:r>
        <w:rPr/>
        <w:t xml:space="preserve"> and </w:t>
      </w:r>
      <w:r>
        <w:rPr>
          <w:rStyle w:val="SourceText"/>
        </w:rPr>
        <w:t>cosine</w:t>
      </w:r>
      <w:r>
        <w:rPr/>
        <w:t xml:space="preserve"> table generators, weight </w:t>
      </w:r>
      <w:r>
        <w:rPr>
          <w:rStyle w:val="SourceText"/>
        </w:rPr>
        <w:t>quantize</w:t>
      </w:r>
      <w:r>
        <w:rPr/>
        <w:t>, and top</w:t>
        <w:noBreakHyphen/>
        <w:t>K selection (</w:t>
      </w:r>
      <w:r>
        <w:rPr>
          <w:rStyle w:val="SourceText"/>
        </w:rPr>
        <w:t>k_max</w:t>
      </w:r>
      <w:r>
        <w:rPr/>
        <w:t>). These kernels are the subject of the verification in Chapter 5.</w:t>
      </w:r>
    </w:p>
    <w:p>
      <w:pPr>
        <w:pStyle w:val="Heading2"/>
        <w:bidi w:val="0"/>
        <w:jc w:val="left"/>
        <w:rPr/>
      </w:pPr>
      <w:r>
        <w:rPr/>
        <w:t>2.4 Large Language Models and the Transformer</w:t>
      </w:r>
    </w:p>
    <w:p>
      <w:pPr>
        <w:pStyle w:val="BodyText"/>
        <w:bidi w:val="0"/>
        <w:rPr/>
      </w:pPr>
      <w:r>
        <w:rPr/>
        <w:t xml:space="preserve">A transformer LLM [2] generates text autoregressively, producing one </w:t>
      </w:r>
      <w:r>
        <w:rPr>
          <w:rStyle w:val="Emphasis"/>
        </w:rPr>
        <w:t>token</w:t>
      </w:r>
      <w:r>
        <w:rPr/>
        <w:t xml:space="preserve"> (a sub</w:t>
        <w:noBreakHyphen/>
        <w:t xml:space="preserve">word unit) per </w:t>
      </w:r>
      <w:r>
        <w:rPr>
          <w:rStyle w:val="Emphasis"/>
        </w:rPr>
        <w:t>forward pass</w:t>
      </w:r>
      <w:r>
        <w:rPr/>
        <w:t xml:space="preserve"> through a stack of identical layers. Each layer applies normalisation, projects the input to query/key/value representations, applies positional encoding, computes self</w:t>
        <w:noBreakHyphen/>
        <w:t>attention, and passes the result through a feed</w:t>
        <w:noBreakHyphen/>
        <w:t xml:space="preserve">forward network. A final projection over the vocabulary yields </w:t>
      </w:r>
      <w:r>
        <w:rPr>
          <w:rStyle w:val="Emphasis"/>
        </w:rPr>
        <w:t>logits</w:t>
      </w:r>
      <w:r>
        <w:rPr/>
        <w:t>, from which the next token is sampled. The models used here belong to the LLaMA family [3], for which ztachip's software stack already implements the required operations.</w:t>
      </w:r>
    </w:p>
    <w:p>
      <w:pPr>
        <w:pStyle w:val="Heading2"/>
        <w:bidi w:val="0"/>
        <w:jc w:val="left"/>
        <w:rPr/>
      </w:pPr>
      <w:r>
        <w:rPr/>
        <w:t>2.5 SmolLM2</w:t>
      </w:r>
    </w:p>
    <w:p>
      <w:pPr>
        <w:pStyle w:val="BodyText"/>
        <w:bidi w:val="0"/>
        <w:rPr/>
      </w:pPr>
      <w:r>
        <w:rPr/>
        <w:t>SmolLM2 [4] is a family of compact instruction</w:t>
        <w:noBreakHyphen/>
        <w:t>tuned LLaMA</w:t>
        <w:noBreakHyphen/>
        <w:t>style models. Two members are used: the 135</w:t>
        <w:noBreakHyphen/>
        <w:t>million</w:t>
        <w:noBreakHyphen/>
        <w:t>parameter and the 360</w:t>
        <w:noBreakHyphen/>
        <w:t>million</w:t>
        <w:noBreakHyphen/>
        <w:t>parameter variants. Their configuration parameters, read by the firmware at load time, are summarised in Table 2.2.</w:t>
      </w:r>
    </w:p>
    <w:p>
      <w:pPr>
        <w:pStyle w:val="BodyText"/>
        <w:bidi w:val="0"/>
        <w:rPr/>
      </w:pPr>
      <w:r>
        <w:rPr>
          <w:rStyle w:val="Strong"/>
        </w:rPr>
        <w:t>Table 2.2 — SmolLM2 model configuration parameters.</w:t>
      </w:r>
    </w:p>
    <w:tbl>
      <w:tblPr>
        <w:tblW w:w="7869" w:type="dxa"/>
        <w:jc w:val="left"/>
        <w:tblInd w:w="0" w:type="dxa"/>
        <w:tblLayout w:type="fixed"/>
        <w:tblCellMar>
          <w:top w:w="28" w:type="dxa"/>
          <w:left w:w="28" w:type="dxa"/>
          <w:bottom w:w="28" w:type="dxa"/>
          <w:right w:w="28" w:type="dxa"/>
        </w:tblCellMar>
      </w:tblPr>
      <w:tblGrid>
        <w:gridCol w:w="1835"/>
        <w:gridCol w:w="1666"/>
        <w:gridCol w:w="1666"/>
        <w:gridCol w:w="2702"/>
      </w:tblGrid>
      <w:tr>
        <w:trPr>
          <w:tblHeader w:val="true"/>
        </w:trPr>
        <w:tc>
          <w:tcPr>
            <w:tcW w:w="1835" w:type="dxa"/>
            <w:tcBorders/>
            <w:vAlign w:val="center"/>
          </w:tcPr>
          <w:p>
            <w:pPr>
              <w:pStyle w:val="TableHeading"/>
              <w:bidi w:val="0"/>
              <w:spacing w:before="0" w:after="283"/>
              <w:ind w:hanging="0" w:left="0" w:right="0"/>
              <w:jc w:val="left"/>
              <w:rPr/>
            </w:pPr>
            <w:r>
              <w:rPr/>
              <w:t>Parameter</w:t>
            </w:r>
          </w:p>
        </w:tc>
        <w:tc>
          <w:tcPr>
            <w:tcW w:w="1666" w:type="dxa"/>
            <w:tcBorders/>
            <w:vAlign w:val="center"/>
          </w:tcPr>
          <w:p>
            <w:pPr>
              <w:pStyle w:val="TableHeading"/>
              <w:bidi w:val="0"/>
              <w:spacing w:before="0" w:after="283"/>
              <w:ind w:hanging="0" w:left="0" w:right="0"/>
              <w:jc w:val="right"/>
              <w:rPr/>
            </w:pPr>
            <w:r>
              <w:rPr/>
              <w:t>SmolLM2</w:t>
              <w:noBreakHyphen/>
              <w:t>135M</w:t>
            </w:r>
          </w:p>
        </w:tc>
        <w:tc>
          <w:tcPr>
            <w:tcW w:w="1666" w:type="dxa"/>
            <w:tcBorders/>
            <w:vAlign w:val="center"/>
          </w:tcPr>
          <w:p>
            <w:pPr>
              <w:pStyle w:val="TableHeading"/>
              <w:bidi w:val="0"/>
              <w:spacing w:before="0" w:after="283"/>
              <w:ind w:hanging="0" w:left="0" w:right="0"/>
              <w:jc w:val="right"/>
              <w:rPr/>
            </w:pPr>
            <w:r>
              <w:rPr/>
              <w:t>SmolLM2</w:t>
              <w:noBreakHyphen/>
              <w:t>360M</w:t>
            </w:r>
          </w:p>
        </w:tc>
        <w:tc>
          <w:tcPr>
            <w:tcW w:w="2702" w:type="dxa"/>
            <w:tcBorders/>
            <w:vAlign w:val="center"/>
          </w:tcPr>
          <w:p>
            <w:pPr>
              <w:pStyle w:val="TableHeading"/>
              <w:bidi w:val="0"/>
              <w:spacing w:before="0" w:after="283"/>
              <w:ind w:hanging="0" w:left="0" w:right="0"/>
              <w:jc w:val="left"/>
              <w:rPr/>
            </w:pPr>
            <w:r>
              <w:rPr/>
              <w:t>Meaning</w:t>
            </w:r>
          </w:p>
        </w:tc>
      </w:tr>
      <w:tr>
        <w:trPr/>
        <w:tc>
          <w:tcPr>
            <w:tcW w:w="1835" w:type="dxa"/>
            <w:tcBorders/>
            <w:vAlign w:val="center"/>
          </w:tcPr>
          <w:p>
            <w:pPr>
              <w:pStyle w:val="TableContents"/>
              <w:bidi w:val="0"/>
              <w:spacing w:before="0" w:after="283"/>
              <w:ind w:hanging="0" w:left="0" w:right="0"/>
              <w:jc w:val="left"/>
              <w:rPr/>
            </w:pPr>
            <w:r>
              <w:rPr/>
              <w:t>Embedding dimension</w:t>
            </w:r>
          </w:p>
        </w:tc>
        <w:tc>
          <w:tcPr>
            <w:tcW w:w="1666" w:type="dxa"/>
            <w:tcBorders/>
            <w:vAlign w:val="center"/>
          </w:tcPr>
          <w:p>
            <w:pPr>
              <w:pStyle w:val="TableContents"/>
              <w:bidi w:val="0"/>
              <w:spacing w:before="0" w:after="283"/>
              <w:ind w:hanging="0" w:left="0" w:right="0"/>
              <w:jc w:val="right"/>
              <w:rPr/>
            </w:pPr>
            <w:r>
              <w:rPr/>
              <w:t>576</w:t>
            </w:r>
          </w:p>
        </w:tc>
        <w:tc>
          <w:tcPr>
            <w:tcW w:w="1666" w:type="dxa"/>
            <w:tcBorders/>
            <w:vAlign w:val="center"/>
          </w:tcPr>
          <w:p>
            <w:pPr>
              <w:pStyle w:val="TableContents"/>
              <w:bidi w:val="0"/>
              <w:spacing w:before="0" w:after="283"/>
              <w:ind w:hanging="0" w:left="0" w:right="0"/>
              <w:jc w:val="right"/>
              <w:rPr/>
            </w:pPr>
            <w:r>
              <w:rPr/>
              <w:t>960</w:t>
            </w:r>
          </w:p>
        </w:tc>
        <w:tc>
          <w:tcPr>
            <w:tcW w:w="2702" w:type="dxa"/>
            <w:tcBorders/>
            <w:vAlign w:val="center"/>
          </w:tcPr>
          <w:p>
            <w:pPr>
              <w:pStyle w:val="TableContents"/>
              <w:bidi w:val="0"/>
              <w:spacing w:before="0" w:after="283"/>
              <w:ind w:hanging="0" w:left="0" w:right="0"/>
              <w:jc w:val="left"/>
              <w:rPr/>
            </w:pPr>
            <w:r>
              <w:rPr/>
              <w:t>width of each token vector</w:t>
            </w:r>
          </w:p>
        </w:tc>
      </w:tr>
      <w:tr>
        <w:trPr/>
        <w:tc>
          <w:tcPr>
            <w:tcW w:w="1835" w:type="dxa"/>
            <w:tcBorders/>
            <w:vAlign w:val="center"/>
          </w:tcPr>
          <w:p>
            <w:pPr>
              <w:pStyle w:val="TableContents"/>
              <w:bidi w:val="0"/>
              <w:spacing w:before="0" w:after="283"/>
              <w:ind w:hanging="0" w:left="0" w:right="0"/>
              <w:jc w:val="left"/>
              <w:rPr/>
            </w:pPr>
            <w:r>
              <w:rPr/>
              <w:t>FFN hidden dimension</w:t>
            </w:r>
          </w:p>
        </w:tc>
        <w:tc>
          <w:tcPr>
            <w:tcW w:w="1666" w:type="dxa"/>
            <w:tcBorders/>
            <w:vAlign w:val="center"/>
          </w:tcPr>
          <w:p>
            <w:pPr>
              <w:pStyle w:val="TableContents"/>
              <w:bidi w:val="0"/>
              <w:spacing w:before="0" w:after="283"/>
              <w:ind w:hanging="0" w:left="0" w:right="0"/>
              <w:jc w:val="right"/>
              <w:rPr/>
            </w:pPr>
            <w:r>
              <w:rPr/>
              <w:t>1,536</w:t>
            </w:r>
          </w:p>
        </w:tc>
        <w:tc>
          <w:tcPr>
            <w:tcW w:w="1666" w:type="dxa"/>
            <w:tcBorders/>
            <w:vAlign w:val="center"/>
          </w:tcPr>
          <w:p>
            <w:pPr>
              <w:pStyle w:val="TableContents"/>
              <w:bidi w:val="0"/>
              <w:spacing w:before="0" w:after="283"/>
              <w:ind w:hanging="0" w:left="0" w:right="0"/>
              <w:jc w:val="right"/>
              <w:rPr/>
            </w:pPr>
            <w:r>
              <w:rPr/>
              <w:t>2,560</w:t>
            </w:r>
          </w:p>
        </w:tc>
        <w:tc>
          <w:tcPr>
            <w:tcW w:w="2702" w:type="dxa"/>
            <w:tcBorders/>
            <w:vAlign w:val="center"/>
          </w:tcPr>
          <w:p>
            <w:pPr>
              <w:pStyle w:val="TableContents"/>
              <w:bidi w:val="0"/>
              <w:spacing w:before="0" w:after="283"/>
              <w:ind w:hanging="0" w:left="0" w:right="0"/>
              <w:jc w:val="left"/>
              <w:rPr/>
            </w:pPr>
            <w:r>
              <w:rPr/>
              <w:t>width inside the feed</w:t>
              <w:noBreakHyphen/>
              <w:t>forward block</w:t>
            </w:r>
          </w:p>
        </w:tc>
      </w:tr>
      <w:tr>
        <w:trPr/>
        <w:tc>
          <w:tcPr>
            <w:tcW w:w="1835" w:type="dxa"/>
            <w:tcBorders/>
            <w:vAlign w:val="center"/>
          </w:tcPr>
          <w:p>
            <w:pPr>
              <w:pStyle w:val="TableContents"/>
              <w:bidi w:val="0"/>
              <w:spacing w:before="0" w:after="283"/>
              <w:ind w:hanging="0" w:left="0" w:right="0"/>
              <w:jc w:val="left"/>
              <w:rPr/>
            </w:pPr>
            <w:r>
              <w:rPr/>
              <w:t>Number of layers</w:t>
            </w:r>
          </w:p>
        </w:tc>
        <w:tc>
          <w:tcPr>
            <w:tcW w:w="1666" w:type="dxa"/>
            <w:tcBorders/>
            <w:vAlign w:val="center"/>
          </w:tcPr>
          <w:p>
            <w:pPr>
              <w:pStyle w:val="TableContents"/>
              <w:bidi w:val="0"/>
              <w:spacing w:before="0" w:after="283"/>
              <w:ind w:hanging="0" w:left="0" w:right="0"/>
              <w:jc w:val="right"/>
              <w:rPr/>
            </w:pPr>
            <w:r>
              <w:rPr/>
              <w:t>30</w:t>
            </w:r>
          </w:p>
        </w:tc>
        <w:tc>
          <w:tcPr>
            <w:tcW w:w="1666" w:type="dxa"/>
            <w:tcBorders/>
            <w:vAlign w:val="center"/>
          </w:tcPr>
          <w:p>
            <w:pPr>
              <w:pStyle w:val="TableContents"/>
              <w:bidi w:val="0"/>
              <w:spacing w:before="0" w:after="283"/>
              <w:ind w:hanging="0" w:left="0" w:right="0"/>
              <w:jc w:val="right"/>
              <w:rPr/>
            </w:pPr>
            <w:r>
              <w:rPr/>
              <w:t>32</w:t>
            </w:r>
          </w:p>
        </w:tc>
        <w:tc>
          <w:tcPr>
            <w:tcW w:w="2702" w:type="dxa"/>
            <w:tcBorders/>
            <w:vAlign w:val="center"/>
          </w:tcPr>
          <w:p>
            <w:pPr>
              <w:pStyle w:val="TableContents"/>
              <w:bidi w:val="0"/>
              <w:spacing w:before="0" w:after="283"/>
              <w:ind w:hanging="0" w:left="0" w:right="0"/>
              <w:jc w:val="left"/>
              <w:rPr/>
            </w:pPr>
            <w:r>
              <w:rPr/>
              <w:t>transformer blocks stacked</w:t>
            </w:r>
          </w:p>
        </w:tc>
      </w:tr>
      <w:tr>
        <w:trPr/>
        <w:tc>
          <w:tcPr>
            <w:tcW w:w="1835" w:type="dxa"/>
            <w:tcBorders/>
            <w:vAlign w:val="center"/>
          </w:tcPr>
          <w:p>
            <w:pPr>
              <w:pStyle w:val="TableContents"/>
              <w:bidi w:val="0"/>
              <w:spacing w:before="0" w:after="283"/>
              <w:ind w:hanging="0" w:left="0" w:right="0"/>
              <w:jc w:val="left"/>
              <w:rPr/>
            </w:pPr>
            <w:r>
              <w:rPr/>
              <w:t>Attention heads</w:t>
            </w:r>
          </w:p>
        </w:tc>
        <w:tc>
          <w:tcPr>
            <w:tcW w:w="1666" w:type="dxa"/>
            <w:tcBorders/>
            <w:vAlign w:val="center"/>
          </w:tcPr>
          <w:p>
            <w:pPr>
              <w:pStyle w:val="TableContents"/>
              <w:bidi w:val="0"/>
              <w:spacing w:before="0" w:after="283"/>
              <w:ind w:hanging="0" w:left="0" w:right="0"/>
              <w:jc w:val="right"/>
              <w:rPr/>
            </w:pPr>
            <w:r>
              <w:rPr/>
              <w:t>9</w:t>
            </w:r>
          </w:p>
        </w:tc>
        <w:tc>
          <w:tcPr>
            <w:tcW w:w="1666" w:type="dxa"/>
            <w:tcBorders/>
            <w:vAlign w:val="center"/>
          </w:tcPr>
          <w:p>
            <w:pPr>
              <w:pStyle w:val="TableContents"/>
              <w:bidi w:val="0"/>
              <w:spacing w:before="0" w:after="283"/>
              <w:ind w:hanging="0" w:left="0" w:right="0"/>
              <w:jc w:val="right"/>
              <w:rPr/>
            </w:pPr>
            <w:r>
              <w:rPr/>
              <w:t>15</w:t>
            </w:r>
          </w:p>
        </w:tc>
        <w:tc>
          <w:tcPr>
            <w:tcW w:w="2702" w:type="dxa"/>
            <w:tcBorders/>
            <w:vAlign w:val="center"/>
          </w:tcPr>
          <w:p>
            <w:pPr>
              <w:pStyle w:val="TableContents"/>
              <w:bidi w:val="0"/>
              <w:spacing w:before="0" w:after="283"/>
              <w:ind w:hanging="0" w:left="0" w:right="0"/>
              <w:jc w:val="left"/>
              <w:rPr/>
            </w:pPr>
            <w:r>
              <w:rPr/>
              <w:t>parallel attention sub</w:t>
              <w:noBreakHyphen/>
              <w:t>spaces</w:t>
            </w:r>
          </w:p>
        </w:tc>
      </w:tr>
      <w:tr>
        <w:trPr/>
        <w:tc>
          <w:tcPr>
            <w:tcW w:w="1835" w:type="dxa"/>
            <w:tcBorders/>
            <w:vAlign w:val="center"/>
          </w:tcPr>
          <w:p>
            <w:pPr>
              <w:pStyle w:val="TableContents"/>
              <w:bidi w:val="0"/>
              <w:spacing w:before="0" w:after="283"/>
              <w:ind w:hanging="0" w:left="0" w:right="0"/>
              <w:jc w:val="left"/>
              <w:rPr/>
            </w:pPr>
            <w:r>
              <w:rPr/>
              <w:t>Key/value heads</w:t>
            </w:r>
          </w:p>
        </w:tc>
        <w:tc>
          <w:tcPr>
            <w:tcW w:w="1666" w:type="dxa"/>
            <w:tcBorders/>
            <w:vAlign w:val="center"/>
          </w:tcPr>
          <w:p>
            <w:pPr>
              <w:pStyle w:val="TableContents"/>
              <w:bidi w:val="0"/>
              <w:spacing w:before="0" w:after="283"/>
              <w:ind w:hanging="0" w:left="0" w:right="0"/>
              <w:jc w:val="right"/>
              <w:rPr/>
            </w:pPr>
            <w:r>
              <w:rPr/>
              <w:t>3</w:t>
            </w:r>
          </w:p>
        </w:tc>
        <w:tc>
          <w:tcPr>
            <w:tcW w:w="1666" w:type="dxa"/>
            <w:tcBorders/>
            <w:vAlign w:val="center"/>
          </w:tcPr>
          <w:p>
            <w:pPr>
              <w:pStyle w:val="TableContents"/>
              <w:bidi w:val="0"/>
              <w:spacing w:before="0" w:after="283"/>
              <w:ind w:hanging="0" w:left="0" w:right="0"/>
              <w:jc w:val="right"/>
              <w:rPr/>
            </w:pPr>
            <w:r>
              <w:rPr/>
              <w:t>5</w:t>
            </w:r>
          </w:p>
        </w:tc>
        <w:tc>
          <w:tcPr>
            <w:tcW w:w="2702" w:type="dxa"/>
            <w:tcBorders/>
            <w:vAlign w:val="center"/>
          </w:tcPr>
          <w:p>
            <w:pPr>
              <w:pStyle w:val="TableContents"/>
              <w:bidi w:val="0"/>
              <w:spacing w:before="0" w:after="283"/>
              <w:ind w:hanging="0" w:left="0" w:right="0"/>
              <w:jc w:val="left"/>
              <w:rPr/>
            </w:pPr>
            <w:r>
              <w:rPr/>
              <w:t>grouped</w:t>
              <w:noBreakHyphen/>
              <w:t>query attention factor</w:t>
            </w:r>
          </w:p>
        </w:tc>
      </w:tr>
      <w:tr>
        <w:trPr/>
        <w:tc>
          <w:tcPr>
            <w:tcW w:w="1835" w:type="dxa"/>
            <w:tcBorders/>
            <w:vAlign w:val="center"/>
          </w:tcPr>
          <w:p>
            <w:pPr>
              <w:pStyle w:val="TableContents"/>
              <w:bidi w:val="0"/>
              <w:spacing w:before="0" w:after="283"/>
              <w:ind w:hanging="0" w:left="0" w:right="0"/>
              <w:jc w:val="left"/>
              <w:rPr/>
            </w:pPr>
            <w:r>
              <w:rPr/>
              <w:t>Key/value dimension</w:t>
            </w:r>
          </w:p>
        </w:tc>
        <w:tc>
          <w:tcPr>
            <w:tcW w:w="1666" w:type="dxa"/>
            <w:tcBorders/>
            <w:vAlign w:val="center"/>
          </w:tcPr>
          <w:p>
            <w:pPr>
              <w:pStyle w:val="TableContents"/>
              <w:bidi w:val="0"/>
              <w:spacing w:before="0" w:after="283"/>
              <w:ind w:hanging="0" w:left="0" w:right="0"/>
              <w:jc w:val="right"/>
              <w:rPr/>
            </w:pPr>
            <w:r>
              <w:rPr/>
              <w:t>192</w:t>
            </w:r>
          </w:p>
        </w:tc>
        <w:tc>
          <w:tcPr>
            <w:tcW w:w="1666" w:type="dxa"/>
            <w:tcBorders/>
            <w:vAlign w:val="center"/>
          </w:tcPr>
          <w:p>
            <w:pPr>
              <w:pStyle w:val="TableContents"/>
              <w:bidi w:val="0"/>
              <w:spacing w:before="0" w:after="283"/>
              <w:ind w:hanging="0" w:left="0" w:right="0"/>
              <w:jc w:val="right"/>
              <w:rPr/>
            </w:pPr>
            <w:r>
              <w:rPr/>
              <w:t>320</w:t>
            </w:r>
          </w:p>
        </w:tc>
        <w:tc>
          <w:tcPr>
            <w:tcW w:w="2702" w:type="dxa"/>
            <w:tcBorders/>
            <w:vAlign w:val="center"/>
          </w:tcPr>
          <w:p>
            <w:pPr>
              <w:pStyle w:val="TableContents"/>
              <w:bidi w:val="0"/>
              <w:spacing w:before="0" w:after="283"/>
              <w:ind w:hanging="0" w:left="0" w:right="0"/>
              <w:jc w:val="left"/>
              <w:rPr/>
            </w:pPr>
            <w:r>
              <w:rPr/>
              <w:t>size of key/value projections</w:t>
            </w:r>
          </w:p>
        </w:tc>
      </w:tr>
      <w:tr>
        <w:trPr/>
        <w:tc>
          <w:tcPr>
            <w:tcW w:w="1835" w:type="dxa"/>
            <w:tcBorders/>
            <w:vAlign w:val="center"/>
          </w:tcPr>
          <w:p>
            <w:pPr>
              <w:pStyle w:val="TableContents"/>
              <w:bidi w:val="0"/>
              <w:spacing w:before="0" w:after="283"/>
              <w:ind w:hanging="0" w:left="0" w:right="0"/>
              <w:jc w:val="left"/>
              <w:rPr/>
            </w:pPr>
            <w:r>
              <w:rPr/>
              <w:t>Head size</w:t>
            </w:r>
          </w:p>
        </w:tc>
        <w:tc>
          <w:tcPr>
            <w:tcW w:w="1666" w:type="dxa"/>
            <w:tcBorders/>
            <w:vAlign w:val="center"/>
          </w:tcPr>
          <w:p>
            <w:pPr>
              <w:pStyle w:val="TableContents"/>
              <w:bidi w:val="0"/>
              <w:spacing w:before="0" w:after="283"/>
              <w:ind w:hanging="0" w:left="0" w:right="0"/>
              <w:jc w:val="right"/>
              <w:rPr/>
            </w:pPr>
            <w:r>
              <w:rPr/>
              <w:t>64</w:t>
            </w:r>
          </w:p>
        </w:tc>
        <w:tc>
          <w:tcPr>
            <w:tcW w:w="1666" w:type="dxa"/>
            <w:tcBorders/>
            <w:vAlign w:val="center"/>
          </w:tcPr>
          <w:p>
            <w:pPr>
              <w:pStyle w:val="TableContents"/>
              <w:bidi w:val="0"/>
              <w:spacing w:before="0" w:after="283"/>
              <w:ind w:hanging="0" w:left="0" w:right="0"/>
              <w:jc w:val="right"/>
              <w:rPr/>
            </w:pPr>
            <w:r>
              <w:rPr/>
              <w:t>64</w:t>
            </w:r>
          </w:p>
        </w:tc>
        <w:tc>
          <w:tcPr>
            <w:tcW w:w="2702" w:type="dxa"/>
            <w:tcBorders/>
            <w:vAlign w:val="center"/>
          </w:tcPr>
          <w:p>
            <w:pPr>
              <w:pStyle w:val="TableContents"/>
              <w:bidi w:val="0"/>
              <w:spacing w:before="0" w:after="283"/>
              <w:ind w:hanging="0" w:left="0" w:right="0"/>
              <w:jc w:val="left"/>
              <w:rPr/>
            </w:pPr>
            <w:r>
              <w:rPr/>
              <w:t>dimension per attention head</w:t>
            </w:r>
          </w:p>
        </w:tc>
      </w:tr>
      <w:tr>
        <w:trPr/>
        <w:tc>
          <w:tcPr>
            <w:tcW w:w="1835" w:type="dxa"/>
            <w:tcBorders/>
            <w:vAlign w:val="center"/>
          </w:tcPr>
          <w:p>
            <w:pPr>
              <w:pStyle w:val="TableContents"/>
              <w:bidi w:val="0"/>
              <w:spacing w:before="0" w:after="283"/>
              <w:ind w:hanging="0" w:left="0" w:right="0"/>
              <w:jc w:val="left"/>
              <w:rPr/>
            </w:pPr>
            <w:r>
              <w:rPr/>
              <w:t>Vocabulary size</w:t>
            </w:r>
          </w:p>
        </w:tc>
        <w:tc>
          <w:tcPr>
            <w:tcW w:w="1666" w:type="dxa"/>
            <w:tcBorders/>
            <w:vAlign w:val="center"/>
          </w:tcPr>
          <w:p>
            <w:pPr>
              <w:pStyle w:val="TableContents"/>
              <w:bidi w:val="0"/>
              <w:spacing w:before="0" w:after="283"/>
              <w:ind w:hanging="0" w:left="0" w:right="0"/>
              <w:jc w:val="right"/>
              <w:rPr/>
            </w:pPr>
            <w:r>
              <w:rPr/>
              <w:t>49,152</w:t>
            </w:r>
          </w:p>
        </w:tc>
        <w:tc>
          <w:tcPr>
            <w:tcW w:w="1666" w:type="dxa"/>
            <w:tcBorders/>
            <w:vAlign w:val="center"/>
          </w:tcPr>
          <w:p>
            <w:pPr>
              <w:pStyle w:val="TableContents"/>
              <w:bidi w:val="0"/>
              <w:spacing w:before="0" w:after="283"/>
              <w:ind w:hanging="0" w:left="0" w:right="0"/>
              <w:jc w:val="right"/>
              <w:rPr/>
            </w:pPr>
            <w:r>
              <w:rPr/>
              <w:t>49,152</w:t>
            </w:r>
          </w:p>
        </w:tc>
        <w:tc>
          <w:tcPr>
            <w:tcW w:w="2702" w:type="dxa"/>
            <w:tcBorders/>
            <w:vAlign w:val="center"/>
          </w:tcPr>
          <w:p>
            <w:pPr>
              <w:pStyle w:val="TableContents"/>
              <w:bidi w:val="0"/>
              <w:spacing w:before="0" w:after="283"/>
              <w:ind w:hanging="0" w:left="0" w:right="0"/>
              <w:jc w:val="left"/>
              <w:rPr/>
            </w:pPr>
            <w:r>
              <w:rPr/>
              <w:t>distinct output tokens</w:t>
            </w:r>
          </w:p>
        </w:tc>
      </w:tr>
      <w:tr>
        <w:trPr/>
        <w:tc>
          <w:tcPr>
            <w:tcW w:w="1835" w:type="dxa"/>
            <w:tcBorders/>
            <w:vAlign w:val="center"/>
          </w:tcPr>
          <w:p>
            <w:pPr>
              <w:pStyle w:val="TableContents"/>
              <w:bidi w:val="0"/>
              <w:spacing w:before="0" w:after="283"/>
              <w:ind w:hanging="0" w:left="0" w:right="0"/>
              <w:jc w:val="left"/>
              <w:rPr/>
            </w:pPr>
            <w:r>
              <w:rPr/>
              <w:t>Context length</w:t>
            </w:r>
          </w:p>
        </w:tc>
        <w:tc>
          <w:tcPr>
            <w:tcW w:w="1666" w:type="dxa"/>
            <w:tcBorders/>
            <w:vAlign w:val="center"/>
          </w:tcPr>
          <w:p>
            <w:pPr>
              <w:pStyle w:val="TableContents"/>
              <w:bidi w:val="0"/>
              <w:spacing w:before="0" w:after="283"/>
              <w:ind w:hanging="0" w:left="0" w:right="0"/>
              <w:jc w:val="right"/>
              <w:rPr/>
            </w:pPr>
            <w:r>
              <w:rPr/>
              <w:t>8,192</w:t>
            </w:r>
          </w:p>
        </w:tc>
        <w:tc>
          <w:tcPr>
            <w:tcW w:w="1666" w:type="dxa"/>
            <w:tcBorders/>
            <w:vAlign w:val="center"/>
          </w:tcPr>
          <w:p>
            <w:pPr>
              <w:pStyle w:val="TableContents"/>
              <w:bidi w:val="0"/>
              <w:spacing w:before="0" w:after="283"/>
              <w:ind w:hanging="0" w:left="0" w:right="0"/>
              <w:jc w:val="right"/>
              <w:rPr/>
            </w:pPr>
            <w:r>
              <w:rPr/>
              <w:t>8,192</w:t>
            </w:r>
          </w:p>
        </w:tc>
        <w:tc>
          <w:tcPr>
            <w:tcW w:w="2702" w:type="dxa"/>
            <w:tcBorders/>
            <w:vAlign w:val="center"/>
          </w:tcPr>
          <w:p>
            <w:pPr>
              <w:pStyle w:val="TableContents"/>
              <w:bidi w:val="0"/>
              <w:spacing w:before="0" w:after="283"/>
              <w:jc w:val="left"/>
              <w:rPr/>
            </w:pPr>
            <w:r>
              <w:rPr/>
              <w:t>maximum sequence length</w:t>
            </w:r>
          </w:p>
        </w:tc>
      </w:tr>
    </w:tbl>
    <w:p>
      <w:pPr>
        <w:pStyle w:val="BodyText"/>
        <w:bidi w:val="0"/>
        <w:rPr/>
      </w:pPr>
      <w:r>
        <w:rPr/>
        <w:t>The firmware imposes compile</w:t>
        <w:noBreakHyphen/>
        <w:t>time limits of 32 layers and a 1,024</w:t>
        <w:noBreakHyphen/>
        <w:t>token working sequence; the 360M model, at exactly 32 layers, therefore occupies the layer limit.</w:t>
      </w:r>
    </w:p>
    <w:p>
      <w:pPr>
        <w:pStyle w:val="Heading2"/>
        <w:bidi w:val="0"/>
        <w:jc w:val="left"/>
        <w:rPr/>
      </w:pPr>
      <w:r>
        <w:rPr/>
        <w:t>2.6 Weight Quantisation</w:t>
      </w:r>
    </w:p>
    <w:p>
      <w:pPr>
        <w:pStyle w:val="BodyText"/>
        <w:bidi w:val="0"/>
        <w:rPr/>
      </w:pPr>
      <w:r>
        <w:rPr/>
        <w:t>Quantisation reduces the numerical precision of model weights to lower memory footprint and bandwidth. This work uses 4</w:t>
        <w:noBreakHyphen/>
        <w:t>bit (</w:t>
      </w:r>
      <w:r>
        <w:rPr>
          <w:rStyle w:val="Strong"/>
        </w:rPr>
        <w:t>Q4/INT4</w:t>
      </w:r>
      <w:r>
        <w:rPr/>
        <w:t>) and 8</w:t>
        <w:noBreakHyphen/>
        <w:t>bit (</w:t>
      </w:r>
      <w:r>
        <w:rPr>
          <w:rStyle w:val="Strong"/>
        </w:rPr>
        <w:t>Q8/INT8</w:t>
      </w:r>
      <w:r>
        <w:rPr/>
        <w:t xml:space="preserve">) integer quantisation. The accelerator consumes models in ztachip's own </w:t>
      </w:r>
      <w:r>
        <w:rPr>
          <w:rStyle w:val="Strong"/>
        </w:rPr>
        <w:t>ZUF</w:t>
      </w:r>
      <w:r>
        <w:rPr/>
        <w:t xml:space="preserve"> container, converted from the standard GGUF format [5]; the converter accepts an F16/F32 GGUF input and emits a Q4 or Q8 ZUF file. The on</w:t>
        <w:noBreakHyphen/>
        <w:t>device file sizes are 147 MB (135M</w:t>
        <w:noBreakHyphen/>
        <w:t>Q4), 200 MB (135M</w:t>
        <w:noBreakHyphen/>
        <w:t>Q8), and 308 MB (360M</w:t>
        <w:noBreakHyphen/>
        <w:t>Q4). Because Q4 and Q8 of the same model implement an identical network, the pair provides a controlled experiment in which only the data volume changes — exploited in Chapter 6.</w:t>
      </w:r>
    </w:p>
    <w:p>
      <w:pPr>
        <w:pStyle w:val="Heading2"/>
        <w:bidi w:val="0"/>
        <w:jc w:val="left"/>
        <w:rPr/>
      </w:pPr>
      <w:r>
        <w:rPr/>
        <w:t>2.7 Related Work</w:t>
      </w:r>
    </w:p>
    <w:p>
      <w:pPr>
        <w:pStyle w:val="BodyText"/>
        <w:bidi w:val="0"/>
        <w:rPr/>
      </w:pPr>
      <w:r>
        <w:rPr/>
        <w:t>Edge LLM inference on embedded GPUs (e.g. the NVIDIA Jetson family) is an active area; a teammate's measurements on a Jetson TX1 provide an external reference point in Section 6.6. FPGA</w:t>
        <w:noBreakHyphen/>
        <w:t xml:space="preserve">based neural accelerators are well established for convolutional workloads; the present work is distinguished by targeting a </w:t>
      </w:r>
      <w:r>
        <w:rPr>
          <w:rStyle w:val="Emphasis"/>
        </w:rPr>
        <w:t>transformer LLM</w:t>
      </w:r>
      <w:r>
        <w:rPr/>
        <w:t xml:space="preserve"> on a </w:t>
      </w:r>
      <w:r>
        <w:rPr>
          <w:rStyle w:val="Emphasis"/>
        </w:rPr>
        <w:t>resource</w:t>
        <w:noBreakHyphen/>
        <w:t>constrained</w:t>
      </w:r>
      <w:r>
        <w:rPr/>
        <w:t xml:space="preserve"> Zynq device using an </w:t>
      </w:r>
      <w:r>
        <w:rPr>
          <w:rStyle w:val="Emphasis"/>
        </w:rPr>
        <w:t>unmodified</w:t>
      </w:r>
      <w:r>
        <w:rPr/>
        <w:t xml:space="preserve"> open</w:t>
        <w:noBreakHyphen/>
        <w:t>source accelerator core, and by its emphasis on on</w:t>
        <w:noBreakHyphen/>
        <w:t>silicon verification and instrumented bottleneck analysis.</w:t>
      </w:r>
    </w:p>
    <w:p>
      <w:pPr>
        <w:pStyle w:val="HorizontalLine"/>
        <w:bidi w:val="0"/>
        <w:jc w:val="left"/>
        <w:rPr/>
      </w:pPr>
      <w:r>
        <w:rPr/>
      </w:r>
    </w:p>
    <w:p>
      <w:pPr>
        <w:pStyle w:val="Heading1chapter"/>
        <w:bidi w:val="0"/>
        <w:jc w:val="left"/>
        <w:rPr/>
      </w:pPr>
      <w:r>
        <w:rPr/>
        <w:t>Chapter 3 — System Architecture and Design</w:t>
      </w:r>
    </w:p>
    <w:p>
      <w:pPr>
        <w:pStyle w:val="Heading2"/>
        <w:bidi w:val="0"/>
        <w:jc w:val="left"/>
        <w:rPr/>
      </w:pPr>
      <w:r>
        <w:rPr/>
        <w:t>3.1 Design Philosophy: VexRiscv in the Programmable Logic</w:t>
      </w:r>
    </w:p>
    <w:p>
      <w:pPr>
        <w:pStyle w:val="BodyText"/>
        <w:bidi w:val="0"/>
        <w:rPr/>
      </w:pPr>
      <w:r>
        <w:rPr/>
        <w:t>The central architectural decision is to retain the VexRiscv soft processor as the controller of ztachip within the PL, rather than re</w:t>
        <w:noBreakHyphen/>
        <w:t>architecting the system so that the ARM PS drives the accelerator over a general</w:t>
        <w:noBreakHyphen/>
        <w:t>purpose AXI master. This choice preserves the entire existing ztachip software stack unmodified, keeps the design portable across FPGA families, and confines the PS to two well</w:t>
        <w:noBreakHyphen/>
        <w:t>defined services: provision of DDR memory (reached from the PL via S_AXI_HP0) and generation of clocks. The general</w:t>
        <w:noBreakHyphen/>
        <w:t>purpose PS→PL master (M_AXI_GP0) is disabled.</w:t>
      </w:r>
    </w:p>
    <w:p>
      <w:pPr>
        <w:pStyle w:val="Heading2"/>
        <w:bidi w:val="0"/>
        <w:jc w:val="left"/>
        <w:rPr/>
      </w:pPr>
      <w:r>
        <w:rPr/>
        <w:t>3.2 Target Platform Mapping</w:t>
      </w:r>
    </w:p>
    <w:p>
      <w:pPr>
        <w:pStyle w:val="BodyText"/>
        <w:bidi w:val="0"/>
        <w:rPr/>
      </w:pPr>
      <w:r>
        <w:rPr/>
        <w:t>Table 3.1 summarises the differences between the original Arty A7 environment and the ZC702 target, together with the corresponding adaptation. The accelerator core itself is reused essentially unchanged; the modifications occur at the platform</w:t>
        <w:noBreakHyphen/>
        <w:t>wrapper layer.</w:t>
      </w:r>
    </w:p>
    <w:p>
      <w:pPr>
        <w:pStyle w:val="BodyText"/>
        <w:bidi w:val="0"/>
        <w:rPr/>
      </w:pPr>
      <w:r>
        <w:rPr>
          <w:rStyle w:val="Strong"/>
        </w:rPr>
        <w:t>Table 3.1 — Platform mapping from Arty A7 to ZC702.</w:t>
      </w:r>
    </w:p>
    <w:tbl>
      <w:tblPr>
        <w:tblW w:w="7869" w:type="dxa"/>
        <w:jc w:val="left"/>
        <w:tblInd w:w="0" w:type="dxa"/>
        <w:tblLayout w:type="fixed"/>
        <w:tblCellMar>
          <w:top w:w="28" w:type="dxa"/>
          <w:left w:w="28" w:type="dxa"/>
          <w:bottom w:w="28" w:type="dxa"/>
          <w:right w:w="28" w:type="dxa"/>
        </w:tblCellMar>
      </w:tblPr>
      <w:tblGrid>
        <w:gridCol w:w="1462"/>
        <w:gridCol w:w="1867"/>
        <w:gridCol w:w="1909"/>
        <w:gridCol w:w="2631"/>
      </w:tblGrid>
      <w:tr>
        <w:trPr>
          <w:tblHeader w:val="true"/>
        </w:trPr>
        <w:tc>
          <w:tcPr>
            <w:tcW w:w="1462" w:type="dxa"/>
            <w:tcBorders/>
            <w:vAlign w:val="center"/>
          </w:tcPr>
          <w:p>
            <w:pPr>
              <w:pStyle w:val="TableHeading"/>
              <w:bidi w:val="0"/>
              <w:spacing w:before="0" w:after="283"/>
              <w:ind w:hanging="0" w:left="0" w:right="0"/>
              <w:jc w:val="left"/>
              <w:rPr/>
            </w:pPr>
            <w:r>
              <w:rPr/>
              <w:t>Aspect</w:t>
            </w:r>
          </w:p>
        </w:tc>
        <w:tc>
          <w:tcPr>
            <w:tcW w:w="1867" w:type="dxa"/>
            <w:tcBorders/>
            <w:vAlign w:val="center"/>
          </w:tcPr>
          <w:p>
            <w:pPr>
              <w:pStyle w:val="TableHeading"/>
              <w:bidi w:val="0"/>
              <w:spacing w:before="0" w:after="283"/>
              <w:ind w:hanging="0" w:left="0" w:right="0"/>
              <w:jc w:val="left"/>
              <w:rPr/>
            </w:pPr>
            <w:r>
              <w:rPr/>
              <w:t>Arty A7 (original)</w:t>
            </w:r>
          </w:p>
        </w:tc>
        <w:tc>
          <w:tcPr>
            <w:tcW w:w="1909" w:type="dxa"/>
            <w:tcBorders/>
            <w:vAlign w:val="center"/>
          </w:tcPr>
          <w:p>
            <w:pPr>
              <w:pStyle w:val="TableHeading"/>
              <w:bidi w:val="0"/>
              <w:spacing w:before="0" w:after="283"/>
              <w:ind w:hanging="0" w:left="0" w:right="0"/>
              <w:jc w:val="left"/>
              <w:rPr/>
            </w:pPr>
            <w:r>
              <w:rPr/>
              <w:t>ZC702 (this work)</w:t>
            </w:r>
          </w:p>
        </w:tc>
        <w:tc>
          <w:tcPr>
            <w:tcW w:w="2631" w:type="dxa"/>
            <w:tcBorders/>
            <w:vAlign w:val="center"/>
          </w:tcPr>
          <w:p>
            <w:pPr>
              <w:pStyle w:val="TableHeading"/>
              <w:bidi w:val="0"/>
              <w:spacing w:before="0" w:after="283"/>
              <w:ind w:hanging="0" w:left="0" w:right="0"/>
              <w:jc w:val="left"/>
              <w:rPr/>
            </w:pPr>
            <w:r>
              <w:rPr/>
              <w:t>Adaptation</w:t>
            </w:r>
          </w:p>
        </w:tc>
      </w:tr>
      <w:tr>
        <w:trPr/>
        <w:tc>
          <w:tcPr>
            <w:tcW w:w="1462" w:type="dxa"/>
            <w:tcBorders/>
            <w:vAlign w:val="center"/>
          </w:tcPr>
          <w:p>
            <w:pPr>
              <w:pStyle w:val="TableContents"/>
              <w:bidi w:val="0"/>
              <w:spacing w:before="0" w:after="283"/>
              <w:ind w:hanging="0" w:left="0" w:right="0"/>
              <w:jc w:val="left"/>
              <w:rPr/>
            </w:pPr>
            <w:r>
              <w:rPr/>
              <w:t>FPGA device</w:t>
            </w:r>
          </w:p>
        </w:tc>
        <w:tc>
          <w:tcPr>
            <w:tcW w:w="1867" w:type="dxa"/>
            <w:tcBorders/>
            <w:vAlign w:val="center"/>
          </w:tcPr>
          <w:p>
            <w:pPr>
              <w:pStyle w:val="TableContents"/>
              <w:bidi w:val="0"/>
              <w:spacing w:before="0" w:after="283"/>
              <w:ind w:hanging="0" w:left="0" w:right="0"/>
              <w:jc w:val="left"/>
              <w:rPr/>
            </w:pPr>
            <w:r>
              <w:rPr/>
              <w:t>XC7A100T (Artix</w:t>
              <w:noBreakHyphen/>
              <w:t>7)</w:t>
            </w:r>
          </w:p>
        </w:tc>
        <w:tc>
          <w:tcPr>
            <w:tcW w:w="1909" w:type="dxa"/>
            <w:tcBorders/>
            <w:vAlign w:val="center"/>
          </w:tcPr>
          <w:p>
            <w:pPr>
              <w:pStyle w:val="TableContents"/>
              <w:bidi w:val="0"/>
              <w:spacing w:before="0" w:after="283"/>
              <w:ind w:hanging="0" w:left="0" w:right="0"/>
              <w:jc w:val="left"/>
              <w:rPr/>
            </w:pPr>
            <w:r>
              <w:rPr/>
              <w:t>XC7Z020 (Zynq</w:t>
              <w:noBreakHyphen/>
              <w:t>7000)</w:t>
            </w:r>
          </w:p>
        </w:tc>
        <w:tc>
          <w:tcPr>
            <w:tcW w:w="2631" w:type="dxa"/>
            <w:tcBorders/>
            <w:vAlign w:val="center"/>
          </w:tcPr>
          <w:p>
            <w:pPr>
              <w:pStyle w:val="TableContents"/>
              <w:bidi w:val="0"/>
              <w:spacing w:before="0" w:after="283"/>
              <w:ind w:hanging="0" w:left="0" w:right="0"/>
              <w:jc w:val="left"/>
              <w:rPr/>
            </w:pPr>
            <w:r>
              <w:rPr/>
              <w:t>new project, PS block design</w:t>
            </w:r>
          </w:p>
        </w:tc>
      </w:tr>
      <w:tr>
        <w:trPr/>
        <w:tc>
          <w:tcPr>
            <w:tcW w:w="1462" w:type="dxa"/>
            <w:tcBorders/>
            <w:vAlign w:val="center"/>
          </w:tcPr>
          <w:p>
            <w:pPr>
              <w:pStyle w:val="TableContents"/>
              <w:bidi w:val="0"/>
              <w:spacing w:before="0" w:after="283"/>
              <w:ind w:hanging="0" w:left="0" w:right="0"/>
              <w:jc w:val="left"/>
              <w:rPr/>
            </w:pPr>
            <w:r>
              <w:rPr/>
              <w:t>Memory controller</w:t>
            </w:r>
          </w:p>
        </w:tc>
        <w:tc>
          <w:tcPr>
            <w:tcW w:w="1867" w:type="dxa"/>
            <w:tcBorders/>
            <w:vAlign w:val="center"/>
          </w:tcPr>
          <w:p>
            <w:pPr>
              <w:pStyle w:val="TableContents"/>
              <w:bidi w:val="0"/>
              <w:spacing w:before="0" w:after="283"/>
              <w:ind w:hanging="0" w:left="0" w:right="0"/>
              <w:jc w:val="left"/>
              <w:rPr/>
            </w:pPr>
            <w:r>
              <w:rPr/>
              <w:t>soft MIG (external DDR3)</w:t>
            </w:r>
          </w:p>
        </w:tc>
        <w:tc>
          <w:tcPr>
            <w:tcW w:w="1909" w:type="dxa"/>
            <w:tcBorders/>
            <w:vAlign w:val="center"/>
          </w:tcPr>
          <w:p>
            <w:pPr>
              <w:pStyle w:val="TableContents"/>
              <w:bidi w:val="0"/>
              <w:spacing w:before="0" w:after="283"/>
              <w:ind w:hanging="0" w:left="0" w:right="0"/>
              <w:jc w:val="left"/>
              <w:rPr/>
            </w:pPr>
            <w:r>
              <w:rPr/>
              <w:t>PS DDR controller</w:t>
            </w:r>
          </w:p>
        </w:tc>
        <w:tc>
          <w:tcPr>
            <w:tcW w:w="2631" w:type="dxa"/>
            <w:tcBorders/>
            <w:vAlign w:val="center"/>
          </w:tcPr>
          <w:p>
            <w:pPr>
              <w:pStyle w:val="TableContents"/>
              <w:bidi w:val="0"/>
              <w:spacing w:before="0" w:after="283"/>
              <w:ind w:hanging="0" w:left="0" w:right="0"/>
              <w:jc w:val="left"/>
              <w:rPr/>
            </w:pPr>
            <w:r>
              <w:rPr/>
              <w:t>PL reaches DDR via S_AXI_HP0 (64</w:t>
              <w:noBreakHyphen/>
              <w:t>bit)</w:t>
            </w:r>
          </w:p>
        </w:tc>
      </w:tr>
      <w:tr>
        <w:trPr/>
        <w:tc>
          <w:tcPr>
            <w:tcW w:w="1462" w:type="dxa"/>
            <w:tcBorders/>
            <w:vAlign w:val="center"/>
          </w:tcPr>
          <w:p>
            <w:pPr>
              <w:pStyle w:val="TableContents"/>
              <w:bidi w:val="0"/>
              <w:spacing w:before="0" w:after="283"/>
              <w:ind w:hanging="0" w:left="0" w:right="0"/>
              <w:jc w:val="left"/>
              <w:rPr/>
            </w:pPr>
            <w:r>
              <w:rPr/>
              <w:t>Memory data width</w:t>
            </w:r>
          </w:p>
        </w:tc>
        <w:tc>
          <w:tcPr>
            <w:tcW w:w="1867" w:type="dxa"/>
            <w:tcBorders/>
            <w:vAlign w:val="center"/>
          </w:tcPr>
          <w:p>
            <w:pPr>
              <w:pStyle w:val="TableContents"/>
              <w:bidi w:val="0"/>
              <w:spacing w:before="0" w:after="283"/>
              <w:ind w:hanging="0" w:left="0" w:right="0"/>
              <w:jc w:val="left"/>
              <w:rPr/>
            </w:pPr>
            <w:r>
              <w:rPr/>
              <w:t>128</w:t>
              <w:noBreakHyphen/>
              <w:t>bit</w:t>
            </w:r>
          </w:p>
        </w:tc>
        <w:tc>
          <w:tcPr>
            <w:tcW w:w="1909" w:type="dxa"/>
            <w:tcBorders/>
            <w:vAlign w:val="center"/>
          </w:tcPr>
          <w:p>
            <w:pPr>
              <w:pStyle w:val="TableContents"/>
              <w:bidi w:val="0"/>
              <w:spacing w:before="0" w:after="283"/>
              <w:ind w:hanging="0" w:left="0" w:right="0"/>
              <w:jc w:val="left"/>
              <w:rPr/>
            </w:pPr>
            <w:r>
              <w:rPr/>
              <w:t>64</w:t>
              <w:noBreakHyphen/>
              <w:t>bit</w:t>
            </w:r>
          </w:p>
        </w:tc>
        <w:tc>
          <w:tcPr>
            <w:tcW w:w="2631" w:type="dxa"/>
            <w:tcBorders/>
            <w:vAlign w:val="center"/>
          </w:tcPr>
          <w:p>
            <w:pPr>
              <w:pStyle w:val="TableContents"/>
              <w:bidi w:val="0"/>
              <w:spacing w:before="0" w:after="283"/>
              <w:ind w:hanging="0" w:left="0" w:right="0"/>
              <w:jc w:val="left"/>
              <w:rPr/>
            </w:pPr>
            <w:r>
              <w:rPr>
                <w:rStyle w:val="SourceText"/>
              </w:rPr>
              <w:t>exmem_data_width_c</w:t>
            </w:r>
            <w:r>
              <w:rPr/>
              <w:t xml:space="preserve"> 128 → 64</w:t>
            </w:r>
          </w:p>
        </w:tc>
      </w:tr>
      <w:tr>
        <w:trPr/>
        <w:tc>
          <w:tcPr>
            <w:tcW w:w="1462" w:type="dxa"/>
            <w:tcBorders/>
            <w:vAlign w:val="center"/>
          </w:tcPr>
          <w:p>
            <w:pPr>
              <w:pStyle w:val="TableContents"/>
              <w:bidi w:val="0"/>
              <w:spacing w:before="0" w:after="283"/>
              <w:ind w:hanging="0" w:left="0" w:right="0"/>
              <w:jc w:val="left"/>
              <w:rPr/>
            </w:pPr>
            <w:r>
              <w:rPr/>
              <w:t>Clock source</w:t>
            </w:r>
          </w:p>
        </w:tc>
        <w:tc>
          <w:tcPr>
            <w:tcW w:w="1867" w:type="dxa"/>
            <w:tcBorders/>
            <w:vAlign w:val="center"/>
          </w:tcPr>
          <w:p>
            <w:pPr>
              <w:pStyle w:val="TableContents"/>
              <w:bidi w:val="0"/>
              <w:spacing w:before="0" w:after="283"/>
              <w:ind w:hanging="0" w:left="0" w:right="0"/>
              <w:jc w:val="left"/>
              <w:rPr/>
            </w:pPr>
            <w:r>
              <w:rPr/>
              <w:t>oscillator + clock wizard</w:t>
            </w:r>
          </w:p>
        </w:tc>
        <w:tc>
          <w:tcPr>
            <w:tcW w:w="1909" w:type="dxa"/>
            <w:tcBorders/>
            <w:vAlign w:val="center"/>
          </w:tcPr>
          <w:p>
            <w:pPr>
              <w:pStyle w:val="TableContents"/>
              <w:bidi w:val="0"/>
              <w:spacing w:before="0" w:after="283"/>
              <w:ind w:hanging="0" w:left="0" w:right="0"/>
              <w:jc w:val="left"/>
              <w:rPr/>
            </w:pPr>
            <w:r>
              <w:rPr/>
              <w:t>PS FCLK + added MMCM</w:t>
            </w:r>
          </w:p>
        </w:tc>
        <w:tc>
          <w:tcPr>
            <w:tcW w:w="2631" w:type="dxa"/>
            <w:tcBorders/>
            <w:vAlign w:val="center"/>
          </w:tcPr>
          <w:p>
            <w:pPr>
              <w:pStyle w:val="TableContents"/>
              <w:bidi w:val="0"/>
              <w:spacing w:before="0" w:after="283"/>
              <w:ind w:hanging="0" w:left="0" w:right="0"/>
              <w:jc w:val="left"/>
              <w:rPr/>
            </w:pPr>
            <w:r>
              <w:rPr/>
              <w:t>single</w:t>
              <w:noBreakHyphen/>
              <w:t>root 2:1 clocking</w:t>
            </w:r>
          </w:p>
        </w:tc>
      </w:tr>
      <w:tr>
        <w:trPr/>
        <w:tc>
          <w:tcPr>
            <w:tcW w:w="1462" w:type="dxa"/>
            <w:tcBorders/>
            <w:vAlign w:val="center"/>
          </w:tcPr>
          <w:p>
            <w:pPr>
              <w:pStyle w:val="TableContents"/>
              <w:bidi w:val="0"/>
              <w:spacing w:before="0" w:after="283"/>
              <w:ind w:hanging="0" w:left="0" w:right="0"/>
              <w:jc w:val="left"/>
              <w:rPr/>
            </w:pPr>
            <w:r>
              <w:rPr/>
              <w:t>Model transport</w:t>
            </w:r>
          </w:p>
        </w:tc>
        <w:tc>
          <w:tcPr>
            <w:tcW w:w="1867" w:type="dxa"/>
            <w:tcBorders/>
            <w:vAlign w:val="center"/>
          </w:tcPr>
          <w:p>
            <w:pPr>
              <w:pStyle w:val="TableContents"/>
              <w:bidi w:val="0"/>
              <w:spacing w:before="0" w:after="283"/>
              <w:ind w:hanging="0" w:left="0" w:right="0"/>
              <w:jc w:val="left"/>
              <w:rPr/>
            </w:pPr>
            <w:r>
              <w:rPr/>
              <w:t>Ethernet (TFTP)</w:t>
            </w:r>
          </w:p>
        </w:tc>
        <w:tc>
          <w:tcPr>
            <w:tcW w:w="1909" w:type="dxa"/>
            <w:tcBorders/>
            <w:vAlign w:val="center"/>
          </w:tcPr>
          <w:p>
            <w:pPr>
              <w:pStyle w:val="TableContents"/>
              <w:bidi w:val="0"/>
              <w:spacing w:before="0" w:after="283"/>
              <w:ind w:hanging="0" w:left="0" w:right="0"/>
              <w:jc w:val="left"/>
              <w:rPr/>
            </w:pPr>
            <w:r>
              <w:rPr/>
              <w:t>JTAG pre</w:t>
              <w:noBreakHyphen/>
              <w:t>load into DDR</w:t>
            </w:r>
          </w:p>
        </w:tc>
        <w:tc>
          <w:tcPr>
            <w:tcW w:w="2631" w:type="dxa"/>
            <w:tcBorders/>
            <w:vAlign w:val="center"/>
          </w:tcPr>
          <w:p>
            <w:pPr>
              <w:pStyle w:val="TableContents"/>
              <w:bidi w:val="0"/>
              <w:spacing w:before="0" w:after="283"/>
              <w:ind w:hanging="0" w:left="0" w:right="0"/>
              <w:jc w:val="left"/>
              <w:rPr/>
            </w:pPr>
            <w:r>
              <w:rPr/>
              <w:t>host</w:t>
              <w:noBreakHyphen/>
              <w:t>side loader scripts</w:t>
            </w:r>
          </w:p>
        </w:tc>
      </w:tr>
      <w:tr>
        <w:trPr/>
        <w:tc>
          <w:tcPr>
            <w:tcW w:w="1462" w:type="dxa"/>
            <w:tcBorders/>
            <w:vAlign w:val="center"/>
          </w:tcPr>
          <w:p>
            <w:pPr>
              <w:pStyle w:val="TableContents"/>
              <w:bidi w:val="0"/>
              <w:spacing w:before="0" w:after="283"/>
              <w:ind w:hanging="0" w:left="0" w:right="0"/>
              <w:jc w:val="left"/>
              <w:rPr/>
            </w:pPr>
            <w:r>
              <w:rPr/>
              <w:t>Console I/O</w:t>
            </w:r>
          </w:p>
        </w:tc>
        <w:tc>
          <w:tcPr>
            <w:tcW w:w="1867" w:type="dxa"/>
            <w:tcBorders/>
            <w:vAlign w:val="center"/>
          </w:tcPr>
          <w:p>
            <w:pPr>
              <w:pStyle w:val="TableContents"/>
              <w:bidi w:val="0"/>
              <w:spacing w:before="0" w:after="283"/>
              <w:ind w:hanging="0" w:left="0" w:right="0"/>
              <w:jc w:val="left"/>
              <w:rPr/>
            </w:pPr>
            <w:r>
              <w:rPr/>
              <w:t>UART</w:t>
            </w:r>
          </w:p>
        </w:tc>
        <w:tc>
          <w:tcPr>
            <w:tcW w:w="1909" w:type="dxa"/>
            <w:tcBorders/>
            <w:vAlign w:val="center"/>
          </w:tcPr>
          <w:p>
            <w:pPr>
              <w:pStyle w:val="TableContents"/>
              <w:bidi w:val="0"/>
              <w:spacing w:before="0" w:after="283"/>
              <w:ind w:hanging="0" w:left="0" w:right="0"/>
              <w:jc w:val="left"/>
              <w:rPr/>
            </w:pPr>
            <w:r>
              <w:rPr/>
              <w:t>DDR mailbox over JTAG</w:t>
            </w:r>
          </w:p>
        </w:tc>
        <w:tc>
          <w:tcPr>
            <w:tcW w:w="2631" w:type="dxa"/>
            <w:tcBorders/>
            <w:vAlign w:val="center"/>
          </w:tcPr>
          <w:p>
            <w:pPr>
              <w:pStyle w:val="TableContents"/>
              <w:bidi w:val="0"/>
              <w:spacing w:before="0" w:after="283"/>
              <w:jc w:val="left"/>
              <w:rPr/>
            </w:pPr>
            <w:r>
              <w:rPr/>
              <w:t>ring</w:t>
              <w:noBreakHyphen/>
              <w:t>buffer protocol</w:t>
            </w:r>
          </w:p>
        </w:tc>
      </w:tr>
    </w:tbl>
    <w:p>
      <w:pPr>
        <w:pStyle w:val="BodyText"/>
        <w:bidi w:val="0"/>
        <w:rPr/>
      </w:pPr>
      <w:r>
        <w:rPr/>
        <w:t>The reduction of the external memory interface from 128 to 64 bits is a direct consequence of the HP port width and is significant for the bandwidth analysis of Chapter 6.</w:t>
      </w:r>
    </w:p>
    <w:p>
      <w:pPr>
        <w:pStyle w:val="Heading2"/>
        <w:bidi w:val="0"/>
        <w:jc w:val="left"/>
        <w:rPr/>
      </w:pPr>
      <w:r>
        <w:rPr/>
        <w:t>3.3 Clocking Architecture</w:t>
      </w:r>
    </w:p>
    <w:p>
      <w:pPr>
        <w:pStyle w:val="BodyText"/>
        <w:bidi w:val="0"/>
        <w:rPr/>
      </w:pPr>
      <w:r>
        <w:rPr/>
        <w:t xml:space="preserve">ztachip requires a secondary clock, </w:t>
      </w:r>
      <w:r>
        <w:rPr>
          <w:rStyle w:val="SourceText"/>
        </w:rPr>
        <w:t>clk_x2</w:t>
      </w:r>
      <w:r>
        <w:rPr/>
        <w:t>, at exactly twice the frequency of the main clock, because certain datapaths emit two words per main</w:t>
        <w:noBreakHyphen/>
        <w:t xml:space="preserve">clock cycle. The Zynq's fabric clocks (FCLK) are derived by integer division of a 1500 MHz PLL, so an exact 2:1 ratio is only obtainable at frequencies whose divisors are both integral. The pair </w:t>
      </w:r>
      <w:r>
        <w:rPr>
          <w:rStyle w:val="Strong"/>
        </w:rPr>
        <w:t>93.75 MHz (1500/16)</w:t>
      </w:r>
      <w:r>
        <w:rPr/>
        <w:t xml:space="preserve"> and </w:t>
      </w:r>
      <w:r>
        <w:rPr>
          <w:rStyle w:val="Strong"/>
        </w:rPr>
        <w:t>187.5 MHz (1500/8)</w:t>
      </w:r>
      <w:r>
        <w:rPr/>
        <w:t xml:space="preserve"> satisfies this and lies just below 100 MHz, providing timing margin.</w:t>
      </w:r>
    </w:p>
    <w:p>
      <w:pPr>
        <w:pStyle w:val="BodyText"/>
        <w:bidi w:val="0"/>
        <w:rPr/>
      </w:pPr>
      <w:r>
        <w:rPr/>
        <w:t>Deriving the two clocks from two independent PS outputs produced hold</w:t>
        <w:noBreakHyphen/>
        <w:t>time violations, because the two clock trees shared no common node and the timing analyser could not credit common</w:t>
        <w:noBreakHyphen/>
        <w:t xml:space="preserve">path pessimism. The solution was to feed a single PS clock into a </w:t>
      </w:r>
      <w:r>
        <w:rPr>
          <w:rStyle w:val="Strong"/>
        </w:rPr>
        <w:t>Mixed</w:t>
        <w:noBreakHyphen/>
        <w:t>Mode Clock Manager (MMCM)</w:t>
      </w:r>
      <w:r>
        <w:rPr/>
        <w:t xml:space="preserve"> that generates both outputs from a common root; together with a refinement of the input</w:t>
        <w:noBreakHyphen/>
        <w:t>jitter constraint, this yielded full closure (worst negative slack 0.000 ns, worst hold slack +0.009 ns). A detailed analysis is given in Appendix A.</w:t>
      </w:r>
    </w:p>
    <w:p>
      <w:pPr>
        <w:pStyle w:val="Heading2"/>
        <w:bidi w:val="0"/>
        <w:jc w:val="left"/>
        <w:rPr/>
      </w:pPr>
      <w:r>
        <w:rPr/>
        <w:t>3.4 Memory Architecture and Address Map</w:t>
      </w:r>
    </w:p>
    <w:p>
      <w:pPr>
        <w:pStyle w:val="BodyText"/>
        <w:bidi w:val="0"/>
        <w:rPr/>
      </w:pPr>
      <w:r>
        <w:rPr/>
        <w:t>The 1 GB DDR address space (0x00000000–0x3FFFFFFF) is partitioned as shown in Appendix C. Three design considerations shape it:</w:t>
      </w:r>
    </w:p>
    <w:p>
      <w:pPr>
        <w:pStyle w:val="BodyText"/>
        <w:numPr>
          <w:ilvl w:val="0"/>
          <w:numId w:val="13"/>
        </w:numPr>
        <w:tabs>
          <w:tab w:val="clear" w:pos="1134"/>
          <w:tab w:val="left" w:pos="709" w:leader="none"/>
        </w:tabs>
        <w:bidi w:val="0"/>
        <w:ind w:hanging="283" w:left="709"/>
        <w:rPr/>
      </w:pPr>
      <w:r>
        <w:rPr>
          <w:rStyle w:val="Strong"/>
        </w:rPr>
        <w:t>Reset vector.</w:t>
      </w:r>
      <w:r>
        <w:rPr/>
        <w:t xml:space="preserve"> The VexRiscv reset vector is fixed at 0x00004000, which lies in the PS </w:t>
      </w:r>
    </w:p>
    <w:p>
      <w:pPr>
        <w:pStyle w:val="BodyText"/>
        <w:bidi w:val="0"/>
        <w:rPr/>
      </w:pPr>
      <w:r>
        <w:rPr/>
        <w:t>On</w:t>
        <w:noBreakHyphen/>
        <w:t>Chip Memory (OCM). The first executed instruction must therefore reside there.</w:t>
      </w:r>
    </w:p>
    <w:p>
      <w:pPr>
        <w:pStyle w:val="BodyText"/>
        <w:numPr>
          <w:ilvl w:val="0"/>
          <w:numId w:val="14"/>
        </w:numPr>
        <w:tabs>
          <w:tab w:val="clear" w:pos="1134"/>
          <w:tab w:val="left" w:pos="709" w:leader="none"/>
        </w:tabs>
        <w:bidi w:val="0"/>
        <w:ind w:hanging="283" w:left="709"/>
        <w:rPr/>
      </w:pPr>
      <w:r>
        <w:rPr>
          <w:rStyle w:val="Strong"/>
        </w:rPr>
        <w:t>Reserved low</w:t>
        <w:noBreakHyphen/>
        <w:t>memory region.</w:t>
      </w:r>
      <w:r>
        <w:rPr/>
        <w:t xml:space="preserve"> Addresses 0x00040000–0x000FFFFF are not writable through the </w:t>
      </w:r>
    </w:p>
    <w:p>
      <w:pPr>
        <w:pStyle w:val="BodyText"/>
        <w:bidi w:val="0"/>
        <w:rPr/>
      </w:pPr>
      <w:r>
        <w:rPr/>
        <w:t>debug interface on this device, a side</w:t>
        <w:noBreakHyphen/>
        <w:t>effect of the OCM remapping mechanism. Consequently the firmware is split into a small vector stub placed in OCM at 0x00004000 and a main image placed in DDR at 0x00100000, straddling the reserved region.</w:t>
      </w:r>
    </w:p>
    <w:p>
      <w:pPr>
        <w:pStyle w:val="BodyText"/>
        <w:numPr>
          <w:ilvl w:val="0"/>
          <w:numId w:val="15"/>
        </w:numPr>
        <w:tabs>
          <w:tab w:val="clear" w:pos="1134"/>
          <w:tab w:val="left" w:pos="709" w:leader="none"/>
        </w:tabs>
        <w:bidi w:val="0"/>
        <w:ind w:hanging="283" w:left="709"/>
        <w:rPr/>
      </w:pPr>
      <w:r>
        <w:rPr>
          <w:rStyle w:val="Strong"/>
        </w:rPr>
        <w:t>Coexistence of model, heap and console.</w:t>
      </w:r>
      <w:r>
        <w:rPr/>
        <w:t xml:space="preserve"> The model is placed at 0x10000000, clear of the </w:t>
      </w:r>
    </w:p>
    <w:p>
      <w:pPr>
        <w:pStyle w:val="BodyText"/>
        <w:bidi w:val="0"/>
        <w:rPr/>
      </w:pPr>
      <w:r>
        <w:rPr/>
        <w:t>~200 MB firmware heap that grows below it; the mailbox console is placed at 0x30000000, leaving a 512 MB region for the model so that the 308 MB 360M model fits. (The console was relocated from 0x20000000 to 0x30000000 specifically to accommodate this larger model.)</w:t>
      </w:r>
    </w:p>
    <w:p>
      <w:pPr>
        <w:pStyle w:val="BodyText"/>
        <w:bidi w:val="0"/>
        <w:rPr/>
      </w:pPr>
      <w:r>
        <w:rPr/>
        <w:t>Two sentinel values aid bring</w:t>
        <w:noBreakHyphen/>
        <w:t xml:space="preserve">up: the ASCII marker </w:t>
      </w:r>
      <w:r>
        <w:rPr>
          <w:rStyle w:val="SourceText"/>
        </w:rPr>
        <w:t>"ZTAC"</w:t>
      </w:r>
      <w:r>
        <w:rPr/>
        <w:t xml:space="preserve"> (0x4341545A) at the model base confirms model residency in DDR, and </w:t>
      </w:r>
      <w:r>
        <w:rPr>
          <w:rStyle w:val="SourceText"/>
        </w:rPr>
        <w:t>"ZTCH"</w:t>
      </w:r>
      <w:r>
        <w:rPr/>
        <w:t xml:space="preserve"> (0x5A544348) at the console base confirms that the firmware has booted and initialised the console.</w:t>
      </w:r>
    </w:p>
    <w:p>
      <w:pPr>
        <w:pStyle w:val="Heading2"/>
        <w:bidi w:val="0"/>
        <w:jc w:val="left"/>
        <w:rPr/>
      </w:pPr>
      <w:r>
        <w:rPr/>
        <w:t>3.5 Host–Device Communication</w:t>
      </w:r>
    </w:p>
    <w:p>
      <w:pPr>
        <w:pStyle w:val="BodyText"/>
        <w:bidi w:val="0"/>
        <w:rPr/>
      </w:pPr>
      <w:r>
        <w:rPr/>
        <w:t xml:space="preserve">In the absence of a serial interface reachable from the PL, host–device communication uses a </w:t>
      </w:r>
      <w:r>
        <w:rPr>
          <w:rStyle w:val="Strong"/>
        </w:rPr>
        <w:t>DDR mailbox</w:t>
      </w:r>
      <w:r>
        <w:rPr/>
        <w:t xml:space="preserve">: a pair of ring buffers in memory (one for device→host output, one for host→device input), each 4 KB, with head/tail index words and the </w:t>
      </w:r>
      <w:r>
        <w:rPr>
          <w:rStyle w:val="SourceText"/>
        </w:rPr>
        <w:t>"ZTCH"</w:t>
      </w:r>
      <w:r>
        <w:rPr/>
        <w:t xml:space="preserve"> liveness marker. The host accesses these structures over JTAG using the Xilinx debugger. Standard</w:t>
        <w:noBreakHyphen/>
        <w:t>library output (</w:t>
      </w:r>
      <w:r>
        <w:rPr>
          <w:rStyle w:val="SourceText"/>
        </w:rPr>
        <w:t>printf</w:t>
      </w:r>
      <w:r>
        <w:rPr/>
        <w:t>) on the device is routed to the output ring, so all diagnostic and application text becomes visible to the host. Robustness wrappers retry transient JTAG access failures, and the firmware caps each response so that output never overflows the 4 KB ring — a property later exploited to validate host</w:t>
        <w:noBreakHyphen/>
        <w:t>side timing (Section 6.1).</w:t>
      </w:r>
    </w:p>
    <w:p>
      <w:pPr>
        <w:pStyle w:val="HorizontalLine"/>
        <w:bidi w:val="0"/>
        <w:jc w:val="left"/>
        <w:rPr/>
      </w:pPr>
      <w:r>
        <w:rPr/>
      </w:r>
    </w:p>
    <w:p>
      <w:pPr>
        <w:pStyle w:val="Heading1chapter"/>
        <w:bidi w:val="0"/>
        <w:jc w:val="left"/>
        <w:rPr/>
      </w:pPr>
      <w:r>
        <w:rPr/>
        <w:t>Chapter 4 — Implementation and Bring</w:t>
        <w:noBreakHyphen/>
        <w:t>up Methodology</w:t>
      </w:r>
    </w:p>
    <w:p>
      <w:pPr>
        <w:pStyle w:val="Heading2"/>
        <w:bidi w:val="0"/>
        <w:jc w:val="left"/>
        <w:rPr/>
      </w:pPr>
      <w:r>
        <w:rPr/>
        <w:t>4.1 Hardware Build Flow</w:t>
      </w:r>
    </w:p>
    <w:p>
      <w:pPr>
        <w:pStyle w:val="BodyText"/>
        <w:bidi w:val="0"/>
        <w:rPr/>
      </w:pPr>
      <w:r>
        <w:rPr/>
        <w:t>The PL design is created as a Vivado project incorporating a Zynq PS block design (configuring the FCLK outputs and the S_AXI_HP0 slave) and the ztachip RTL with the modified memory</w:t>
        <w:noBreakHyphen/>
        <w:t xml:space="preserve">width parameter. Synthesis, implementation, and bitstream generation are performed once; the resulting </w:t>
      </w:r>
      <w:r>
        <w:rPr>
          <w:rStyle w:val="SourceText"/>
        </w:rPr>
        <w:t>main_zc702.bit</w:t>
      </w:r>
      <w:r>
        <w:rPr/>
        <w:t xml:space="preserve"> is reused thereafter. Rebuilding the bitstream is required only when the hardware itself changes (for example, the optimisations proposed in Chapter 7) and is not part of routine operation.</w:t>
      </w:r>
    </w:p>
    <w:p>
      <w:pPr>
        <w:pStyle w:val="Heading2"/>
        <w:bidi w:val="0"/>
        <w:jc w:val="left"/>
        <w:rPr/>
      </w:pPr>
      <w:r>
        <w:rPr/>
        <w:t>4.2 Firmware Build System</w:t>
      </w:r>
    </w:p>
    <w:p>
      <w:pPr>
        <w:pStyle w:val="BodyText"/>
        <w:bidi w:val="0"/>
        <w:rPr/>
      </w:pPr>
      <w:r>
        <w:rPr/>
        <w:t xml:space="preserve">The firmware is compiled for the </w:t>
      </w:r>
      <w:r>
        <w:rPr>
          <w:rStyle w:val="SourceText"/>
        </w:rPr>
        <w:t>rv32im</w:t>
      </w:r>
      <w:r>
        <w:rPr/>
        <w:t xml:space="preserve"> instruction set and linked according to a script that realises the address map of Section 3.4. The build selects one of several mutually exclusive modes through makefile flags: </w:t>
      </w:r>
      <w:r>
        <w:rPr>
          <w:rStyle w:val="SourceText"/>
        </w:rPr>
        <w:t>LLM_TEST</w:t>
      </w:r>
      <w:r>
        <w:rPr/>
        <w:t xml:space="preserve"> (the chatbot application, the default), </w:t>
      </w:r>
      <w:r>
        <w:rPr>
          <w:rStyle w:val="SourceText"/>
        </w:rPr>
        <w:t>KERNEL_TEST</w:t>
      </w:r>
      <w:r>
        <w:rPr/>
        <w:t xml:space="preserve"> (a lean kernel self</w:t>
        <w:noBreakHyphen/>
        <w:t xml:space="preserve">test introduced in this work, Chapter 5), and </w:t>
      </w:r>
      <w:r>
        <w:rPr>
          <w:rStyle w:val="SourceText"/>
        </w:rPr>
        <w:t>UNIT_TEST</w:t>
      </w:r>
      <w:r>
        <w:rPr/>
        <w:t xml:space="preserve"> (a comprehensive vision</w:t>
        <w:noBreakHyphen/>
        <w:t>plus</w:t>
        <w:noBreakHyphen/>
        <w:t xml:space="preserve"> LLM suite). The linked ELF is post</w:t>
        <w:noBreakHyphen/>
        <w:t xml:space="preserve">processed with </w:t>
      </w:r>
      <w:r>
        <w:rPr>
          <w:rStyle w:val="SourceText"/>
        </w:rPr>
        <w:t>objcopy</w:t>
      </w:r>
      <w:r>
        <w:rPr/>
        <w:t xml:space="preserve"> into two binaries — the vector stub and the main image — corresponding to the two load addresses.</w:t>
      </w:r>
    </w:p>
    <w:p>
      <w:pPr>
        <w:pStyle w:val="Heading2"/>
        <w:bidi w:val="0"/>
        <w:jc w:val="left"/>
        <w:rPr/>
      </w:pPr>
      <w:r>
        <w:rPr/>
        <w:t>4.3 Bring</w:t>
        <w:noBreakHyphen/>
        <w:t>up Sequence</w:t>
      </w:r>
    </w:p>
    <w:p>
      <w:pPr>
        <w:pStyle w:val="BodyText"/>
        <w:bidi w:val="0"/>
        <w:rPr/>
      </w:pPr>
      <w:r>
        <w:rPr/>
        <w:t>The operational bring</w:t>
        <w:noBreakHyphen/>
        <w:t>up follows a fixed, verification</w:t>
        <w:noBreakHyphen/>
        <w:t>first order:</w:t>
      </w:r>
    </w:p>
    <w:p>
      <w:pPr>
        <w:pStyle w:val="BodyText"/>
        <w:numPr>
          <w:ilvl w:val="0"/>
          <w:numId w:val="16"/>
        </w:numPr>
        <w:tabs>
          <w:tab w:val="clear" w:pos="1134"/>
          <w:tab w:val="left" w:pos="709" w:leader="none"/>
        </w:tabs>
        <w:bidi w:val="0"/>
        <w:spacing w:before="0" w:after="0"/>
        <w:ind w:hanging="283" w:left="709"/>
        <w:rPr/>
      </w:pPr>
      <w:r>
        <w:rPr>
          <w:rStyle w:val="Emphasis"/>
        </w:rPr>
        <w:t>(Build the bitstream — only if hardware changed.)</w:t>
      </w:r>
      <w:r>
        <w:rPr/>
        <w:t xml:space="preserve"> </w:t>
      </w:r>
    </w:p>
    <w:p>
      <w:pPr>
        <w:pStyle w:val="BodyText"/>
        <w:numPr>
          <w:ilvl w:val="0"/>
          <w:numId w:val="16"/>
        </w:numPr>
        <w:tabs>
          <w:tab w:val="clear" w:pos="1134"/>
          <w:tab w:val="left" w:pos="709" w:leader="none"/>
        </w:tabs>
        <w:bidi w:val="0"/>
        <w:spacing w:before="0" w:after="0"/>
        <w:ind w:hanging="283" w:left="709"/>
        <w:rPr/>
      </w:pPr>
      <w:r>
        <w:rPr/>
        <w:t xml:space="preserve">Power on and execute PS initialisation, bringing up DDR and the clocks. </w:t>
      </w:r>
    </w:p>
    <w:p>
      <w:pPr>
        <w:pStyle w:val="BodyText"/>
        <w:numPr>
          <w:ilvl w:val="0"/>
          <w:numId w:val="16"/>
        </w:numPr>
        <w:tabs>
          <w:tab w:val="clear" w:pos="1134"/>
          <w:tab w:val="left" w:pos="709" w:leader="none"/>
        </w:tabs>
        <w:bidi w:val="0"/>
        <w:spacing w:before="0" w:after="0"/>
        <w:ind w:hanging="283" w:left="709"/>
        <w:rPr/>
      </w:pPr>
      <w:r>
        <w:rPr/>
        <w:t xml:space="preserve">Program the FPGA with the existing bitstream (upload the accelerator). </w:t>
      </w:r>
    </w:p>
    <w:p>
      <w:pPr>
        <w:pStyle w:val="BodyText"/>
        <w:numPr>
          <w:ilvl w:val="0"/>
          <w:numId w:val="16"/>
        </w:numPr>
        <w:tabs>
          <w:tab w:val="clear" w:pos="1134"/>
          <w:tab w:val="left" w:pos="709" w:leader="none"/>
        </w:tabs>
        <w:bidi w:val="0"/>
        <w:ind w:hanging="283" w:left="709"/>
        <w:rPr/>
      </w:pPr>
      <w:r>
        <w:rPr>
          <w:rStyle w:val="Strong"/>
        </w:rPr>
        <w:t>Verify the compute kernels</w:t>
      </w:r>
      <w:r>
        <w:rPr/>
        <w:t xml:space="preserve"> by the on</w:t>
        <w:noBreakHyphen/>
        <w:t>silicon self</w:t>
        <w:noBreakHyphen/>
        <w:t xml:space="preserve">test (Chapter 5), before entrusting the </w:t>
      </w:r>
    </w:p>
    <w:p>
      <w:pPr>
        <w:pStyle w:val="BodyText"/>
        <w:bidi w:val="0"/>
        <w:rPr/>
      </w:pPr>
      <w:r>
        <w:rPr/>
        <w:t>accelerator with the full model.</w:t>
      </w:r>
    </w:p>
    <w:p>
      <w:pPr>
        <w:pStyle w:val="BodyText"/>
        <w:numPr>
          <w:ilvl w:val="0"/>
          <w:numId w:val="17"/>
        </w:numPr>
        <w:tabs>
          <w:tab w:val="clear" w:pos="1134"/>
          <w:tab w:val="left" w:pos="709" w:leader="none"/>
        </w:tabs>
        <w:bidi w:val="0"/>
        <w:spacing w:before="0" w:after="0"/>
        <w:ind w:hanging="283" w:left="709"/>
        <w:rPr/>
      </w:pPr>
      <w:r>
        <w:rPr/>
        <w:t>Pre</w:t>
        <w:noBreakHyphen/>
        <w:t xml:space="preserve">load the model into DDR at 0x10000000 over JTAG. </w:t>
      </w:r>
    </w:p>
    <w:p>
      <w:pPr>
        <w:pStyle w:val="BodyText"/>
        <w:numPr>
          <w:ilvl w:val="0"/>
          <w:numId w:val="17"/>
        </w:numPr>
        <w:tabs>
          <w:tab w:val="clear" w:pos="1134"/>
          <w:tab w:val="left" w:pos="709" w:leader="none"/>
        </w:tabs>
        <w:bidi w:val="0"/>
        <w:spacing w:before="0" w:after="0"/>
        <w:ind w:hanging="283" w:left="709"/>
        <w:rPr/>
      </w:pPr>
      <w:r>
        <w:rPr/>
        <w:t xml:space="preserve">Load the two firmware binaries, clear the mailbox, and release VexRiscv from reset. </w:t>
      </w:r>
    </w:p>
    <w:p>
      <w:pPr>
        <w:pStyle w:val="BodyText"/>
        <w:numPr>
          <w:ilvl w:val="0"/>
          <w:numId w:val="17"/>
        </w:numPr>
        <w:tabs>
          <w:tab w:val="clear" w:pos="1134"/>
          <w:tab w:val="left" w:pos="709" w:leader="none"/>
        </w:tabs>
        <w:bidi w:val="0"/>
        <w:ind w:hanging="283" w:left="709"/>
        <w:rPr/>
      </w:pPr>
      <w:r>
        <w:rPr/>
        <w:t xml:space="preserve">Communicate with the running system, or execute the automated benchmark, via the mailbox. </w:t>
      </w:r>
    </w:p>
    <w:p>
      <w:pPr>
        <w:pStyle w:val="BodyText"/>
        <w:bidi w:val="0"/>
        <w:rPr/>
      </w:pPr>
      <w:r>
        <w:rPr/>
        <w:t>An operational constraint was observed: the system boots reliably only on the first bring</w:t>
        <w:noBreakHyphen/>
        <w:t>up after a power cycle, because re</w:t>
        <w:noBreakHyphen/>
        <w:t>initialising an already</w:t>
        <w:noBreakHyphen/>
        <w:t>running PS can leave it in an inconsistent state. A power cycle is therefore performed before each fresh run.</w:t>
      </w:r>
    </w:p>
    <w:p>
      <w:pPr>
        <w:pStyle w:val="Heading2"/>
        <w:bidi w:val="0"/>
        <w:jc w:val="left"/>
        <w:rPr/>
      </w:pPr>
      <w:r>
        <w:rPr/>
        <w:t>4.4 Model Preparation and Loading</w:t>
      </w:r>
    </w:p>
    <w:p>
      <w:pPr>
        <w:pStyle w:val="BodyText"/>
        <w:bidi w:val="0"/>
        <w:rPr/>
      </w:pPr>
      <w:r>
        <w:rPr/>
        <w:t>Models are converted from F16 GGUF to ZUF (Q4 or Q8) on the host and transferred into DDR over JTAG. The transfer is the dominant latency in a cold start because the JTAG link is limited by per</w:t>
        <w:noBreakHyphen/>
        <w:t>transaction latency to approximately 65 KB/s; attempts to raise the link clock and to halt the ARM core during transfer did not improve it. Table 4.1 lists the resulting load times. A chunked transfer with read</w:t>
        <w:noBreakHyphen/>
        <w:t>back verification is used, after a single large transfer was found to under</w:t>
        <w:noBreakHyphen/>
        <w:t>transfer silently.</w:t>
      </w:r>
    </w:p>
    <w:p>
      <w:pPr>
        <w:pStyle w:val="BodyText"/>
        <w:bidi w:val="0"/>
        <w:rPr/>
      </w:pPr>
      <w:r>
        <w:rPr>
          <w:rStyle w:val="Strong"/>
        </w:rPr>
        <w:t>Table 4.1 — JTAG model</w:t>
        <w:noBreakHyphen/>
        <w:t>load times by configuration.</w:t>
      </w:r>
    </w:p>
    <w:tbl>
      <w:tblPr>
        <w:tblW w:w="4638" w:type="dxa"/>
        <w:jc w:val="left"/>
        <w:tblInd w:w="0" w:type="dxa"/>
        <w:tblLayout w:type="fixed"/>
        <w:tblCellMar>
          <w:top w:w="28" w:type="dxa"/>
          <w:left w:w="28" w:type="dxa"/>
          <w:bottom w:w="28" w:type="dxa"/>
          <w:right w:w="28" w:type="dxa"/>
        </w:tblCellMar>
      </w:tblPr>
      <w:tblGrid>
        <w:gridCol w:w="1936"/>
        <w:gridCol w:w="856"/>
        <w:gridCol w:w="1846"/>
      </w:tblGrid>
      <w:tr>
        <w:trPr>
          <w:tblHeader w:val="true"/>
        </w:trPr>
        <w:tc>
          <w:tcPr>
            <w:tcW w:w="1936" w:type="dxa"/>
            <w:tcBorders/>
            <w:vAlign w:val="center"/>
          </w:tcPr>
          <w:p>
            <w:pPr>
              <w:pStyle w:val="TableHeading"/>
              <w:bidi w:val="0"/>
              <w:spacing w:before="0" w:after="283"/>
              <w:ind w:hanging="0" w:left="0" w:right="0"/>
              <w:jc w:val="left"/>
              <w:rPr/>
            </w:pPr>
            <w:r>
              <w:rPr/>
              <w:t>Model</w:t>
            </w:r>
          </w:p>
        </w:tc>
        <w:tc>
          <w:tcPr>
            <w:tcW w:w="856" w:type="dxa"/>
            <w:tcBorders/>
            <w:vAlign w:val="center"/>
          </w:tcPr>
          <w:p>
            <w:pPr>
              <w:pStyle w:val="TableHeading"/>
              <w:bidi w:val="0"/>
              <w:spacing w:before="0" w:after="283"/>
              <w:ind w:hanging="0" w:left="0" w:right="0"/>
              <w:jc w:val="right"/>
              <w:rPr/>
            </w:pPr>
            <w:r>
              <w:rPr/>
              <w:t>File size</w:t>
            </w:r>
          </w:p>
        </w:tc>
        <w:tc>
          <w:tcPr>
            <w:tcW w:w="1846" w:type="dxa"/>
            <w:tcBorders/>
            <w:vAlign w:val="center"/>
          </w:tcPr>
          <w:p>
            <w:pPr>
              <w:pStyle w:val="TableHeading"/>
              <w:bidi w:val="0"/>
              <w:spacing w:before="0" w:after="283"/>
              <w:ind w:hanging="0" w:left="0" w:right="0"/>
              <w:jc w:val="right"/>
              <w:rPr/>
            </w:pPr>
            <w:r>
              <w:rPr/>
              <w:t>Approx. load time</w:t>
            </w:r>
          </w:p>
        </w:tc>
      </w:tr>
      <w:tr>
        <w:trPr/>
        <w:tc>
          <w:tcPr>
            <w:tcW w:w="1936" w:type="dxa"/>
            <w:tcBorders/>
            <w:vAlign w:val="center"/>
          </w:tcPr>
          <w:p>
            <w:pPr>
              <w:pStyle w:val="TableContents"/>
              <w:bidi w:val="0"/>
              <w:spacing w:before="0" w:after="283"/>
              <w:ind w:hanging="0" w:left="0" w:right="0"/>
              <w:jc w:val="left"/>
              <w:rPr/>
            </w:pPr>
            <w:r>
              <w:rPr/>
              <w:t>SmolLM2</w:t>
              <w:noBreakHyphen/>
              <w:t>135M Q4</w:t>
            </w:r>
          </w:p>
        </w:tc>
        <w:tc>
          <w:tcPr>
            <w:tcW w:w="856" w:type="dxa"/>
            <w:tcBorders/>
            <w:vAlign w:val="center"/>
          </w:tcPr>
          <w:p>
            <w:pPr>
              <w:pStyle w:val="TableContents"/>
              <w:bidi w:val="0"/>
              <w:spacing w:before="0" w:after="283"/>
              <w:ind w:hanging="0" w:left="0" w:right="0"/>
              <w:jc w:val="right"/>
              <w:rPr/>
            </w:pPr>
            <w:r>
              <w:rPr/>
              <w:t>147 MB</w:t>
            </w:r>
          </w:p>
        </w:tc>
        <w:tc>
          <w:tcPr>
            <w:tcW w:w="1846" w:type="dxa"/>
            <w:tcBorders/>
            <w:vAlign w:val="center"/>
          </w:tcPr>
          <w:p>
            <w:pPr>
              <w:pStyle w:val="TableContents"/>
              <w:bidi w:val="0"/>
              <w:spacing w:before="0" w:after="283"/>
              <w:ind w:hanging="0" w:left="0" w:right="0"/>
              <w:jc w:val="right"/>
              <w:rPr/>
            </w:pPr>
            <w:r>
              <w:rPr/>
              <w:t>~38 min</w:t>
            </w:r>
          </w:p>
        </w:tc>
      </w:tr>
      <w:tr>
        <w:trPr/>
        <w:tc>
          <w:tcPr>
            <w:tcW w:w="1936" w:type="dxa"/>
            <w:tcBorders/>
            <w:vAlign w:val="center"/>
          </w:tcPr>
          <w:p>
            <w:pPr>
              <w:pStyle w:val="TableContents"/>
              <w:bidi w:val="0"/>
              <w:spacing w:before="0" w:after="283"/>
              <w:ind w:hanging="0" w:left="0" w:right="0"/>
              <w:jc w:val="left"/>
              <w:rPr/>
            </w:pPr>
            <w:r>
              <w:rPr/>
              <w:t>SmolLM2</w:t>
              <w:noBreakHyphen/>
              <w:t>135M Q8</w:t>
            </w:r>
          </w:p>
        </w:tc>
        <w:tc>
          <w:tcPr>
            <w:tcW w:w="856" w:type="dxa"/>
            <w:tcBorders/>
            <w:vAlign w:val="center"/>
          </w:tcPr>
          <w:p>
            <w:pPr>
              <w:pStyle w:val="TableContents"/>
              <w:bidi w:val="0"/>
              <w:spacing w:before="0" w:after="283"/>
              <w:ind w:hanging="0" w:left="0" w:right="0"/>
              <w:jc w:val="right"/>
              <w:rPr/>
            </w:pPr>
            <w:r>
              <w:rPr/>
              <w:t>200 MB</w:t>
            </w:r>
          </w:p>
        </w:tc>
        <w:tc>
          <w:tcPr>
            <w:tcW w:w="1846" w:type="dxa"/>
            <w:tcBorders/>
            <w:vAlign w:val="center"/>
          </w:tcPr>
          <w:p>
            <w:pPr>
              <w:pStyle w:val="TableContents"/>
              <w:bidi w:val="0"/>
              <w:spacing w:before="0" w:after="283"/>
              <w:ind w:hanging="0" w:left="0" w:right="0"/>
              <w:jc w:val="right"/>
              <w:rPr/>
            </w:pPr>
            <w:r>
              <w:rPr/>
              <w:t>~52 min</w:t>
            </w:r>
          </w:p>
        </w:tc>
      </w:tr>
      <w:tr>
        <w:trPr/>
        <w:tc>
          <w:tcPr>
            <w:tcW w:w="1936" w:type="dxa"/>
            <w:tcBorders/>
            <w:vAlign w:val="center"/>
          </w:tcPr>
          <w:p>
            <w:pPr>
              <w:pStyle w:val="TableContents"/>
              <w:bidi w:val="0"/>
              <w:spacing w:before="0" w:after="283"/>
              <w:ind w:hanging="0" w:left="0" w:right="0"/>
              <w:jc w:val="left"/>
              <w:rPr/>
            </w:pPr>
            <w:r>
              <w:rPr/>
              <w:t>SmolLM2</w:t>
              <w:noBreakHyphen/>
              <w:t>360M Q4</w:t>
            </w:r>
          </w:p>
        </w:tc>
        <w:tc>
          <w:tcPr>
            <w:tcW w:w="856" w:type="dxa"/>
            <w:tcBorders/>
            <w:vAlign w:val="center"/>
          </w:tcPr>
          <w:p>
            <w:pPr>
              <w:pStyle w:val="TableContents"/>
              <w:bidi w:val="0"/>
              <w:spacing w:before="0" w:after="283"/>
              <w:ind w:hanging="0" w:left="0" w:right="0"/>
              <w:jc w:val="right"/>
              <w:rPr/>
            </w:pPr>
            <w:r>
              <w:rPr/>
              <w:t>308 MB</w:t>
            </w:r>
          </w:p>
        </w:tc>
        <w:tc>
          <w:tcPr>
            <w:tcW w:w="1846" w:type="dxa"/>
            <w:tcBorders/>
            <w:vAlign w:val="center"/>
          </w:tcPr>
          <w:p>
            <w:pPr>
              <w:pStyle w:val="TableContents"/>
              <w:bidi w:val="0"/>
              <w:spacing w:before="0" w:after="283"/>
              <w:jc w:val="right"/>
              <w:rPr/>
            </w:pPr>
            <w:r>
              <w:rPr/>
              <w:t>~88 min</w:t>
            </w:r>
          </w:p>
        </w:tc>
      </w:tr>
    </w:tbl>
    <w:p>
      <w:pPr>
        <w:pStyle w:val="Heading2"/>
        <w:bidi w:val="0"/>
        <w:jc w:val="left"/>
        <w:rPr/>
      </w:pPr>
      <w:r>
        <w:rPr/>
        <w:t>4.5 Engineering Challenges and Resolutions</w:t>
      </w:r>
    </w:p>
    <w:p>
      <w:pPr>
        <w:pStyle w:val="BodyText"/>
        <w:bidi w:val="0"/>
        <w:rPr/>
      </w:pPr>
      <w:r>
        <w:rPr/>
        <w:t>Several platform</w:t>
        <w:noBreakHyphen/>
        <w:t>specific faults were encountered and resolved; they constitute a substantial part of the engineering contribution.</w:t>
      </w:r>
    </w:p>
    <w:p>
      <w:pPr>
        <w:pStyle w:val="BodyText"/>
        <w:bidi w:val="0"/>
        <w:rPr/>
      </w:pPr>
      <w:r>
        <w:rPr>
          <w:rStyle w:val="Strong"/>
        </w:rPr>
        <w:t>(a) Timing closure.</w:t>
      </w:r>
      <w:r>
        <w:rPr/>
        <w:t xml:space="preserve"> Independent clock roots caused hold violations; an MMCM common root with jitter refinement achieved closure (Section 3.3, Appendix A).</w:t>
      </w:r>
    </w:p>
    <w:p>
      <w:pPr>
        <w:pStyle w:val="BodyText"/>
        <w:bidi w:val="0"/>
        <w:rPr/>
      </w:pPr>
      <w:r>
        <w:rPr>
          <w:rStyle w:val="Strong"/>
        </w:rPr>
        <w:t>(b) Reserved low</w:t>
        <w:noBreakHyphen/>
        <w:t>memory region.</w:t>
      </w:r>
      <w:r>
        <w:rPr/>
        <w:t xml:space="preserve"> The non</w:t>
        <w:noBreakHyphen/>
        <w:t>writable region 0x40000–0xFFFFF was navigated by the two</w:t>
        <w:noBreakHyphen/>
        <w:t>stage boot described in Section 3.4, with all OCM blocks mapped low.</w:t>
      </w:r>
    </w:p>
    <w:p>
      <w:pPr>
        <w:pStyle w:val="BodyText"/>
        <w:bidi w:val="0"/>
        <w:rPr/>
      </w:pPr>
      <w:r>
        <w:rPr>
          <w:rStyle w:val="Strong"/>
        </w:rPr>
        <w:t>(c) Absent serial interface.</w:t>
      </w:r>
      <w:r>
        <w:rPr/>
        <w:t xml:space="preserve"> Replaced by the DDR mailbox (Section 3.5).</w:t>
      </w:r>
    </w:p>
    <w:p>
      <w:pPr>
        <w:pStyle w:val="BodyText"/>
        <w:bidi w:val="0"/>
        <w:rPr/>
      </w:pPr>
      <w:r>
        <w:rPr>
          <w:rStyle w:val="Strong"/>
        </w:rPr>
        <w:t>(d) Silent misaligned</w:t>
        <w:noBreakHyphen/>
        <w:t>load traps (the principal software fault).</w:t>
      </w:r>
      <w:r>
        <w:rPr/>
        <w:t xml:space="preserve"> After the model was found in DDR, the firmware froze without diagnostic. The cause was traced to the VexRiscv core, which lacks hardware support for misaligned word loads and traps silently when one occurs. The C library's string</w:t>
        <w:noBreakHyphen/>
        <w:t>comparison routine reads memory a full 32</w:t>
        <w:noBreakHyphen/>
        <w:t>bit word at a time; because model strings reside at arbitrary (often odd) addresses, this generated misaligned accesses. The resolution was to replace word</w:t>
        <w:noBreakHyphen/>
        <w:t>wise library comparisons with byte</w:t>
        <w:noBreakHyphen/>
        <w:t>wise comparisons in the model loader and tokeniser, which are inherently aligned. This single correction unblocked model loading and all subsequent inference. The resulting design rule — never apply word</w:t>
        <w:noBreakHyphen/>
        <w:t>optimised string routines to raw model bytes in DDR — is recorded for future work.</w:t>
      </w:r>
    </w:p>
    <w:p>
      <w:pPr>
        <w:pStyle w:val="BodyText"/>
        <w:bidi w:val="0"/>
        <w:rPr/>
      </w:pPr>
      <w:r>
        <w:rPr>
          <w:rStyle w:val="Strong"/>
        </w:rPr>
        <w:t>(e) Dead on</w:t>
        <w:noBreakHyphen/>
        <w:t>chip counters.</w:t>
      </w:r>
      <w:r>
        <w:rPr/>
        <w:t xml:space="preserve"> The original integration returned zero for all internal AXI peripheral reads, owing to a tied</w:t>
        <w:noBreakHyphen/>
        <w:t>high bus "ready" signal; correcting this revived both the timer and the performance</w:t>
        <w:noBreakHyphen/>
        <w:t>monitoring unit used in Chapter 6.</w:t>
      </w:r>
    </w:p>
    <w:p>
      <w:pPr>
        <w:pStyle w:val="HorizontalLine"/>
        <w:bidi w:val="0"/>
        <w:jc w:val="left"/>
        <w:rPr/>
      </w:pPr>
      <w:r>
        <w:rPr/>
      </w:r>
    </w:p>
    <w:p>
      <w:pPr>
        <w:pStyle w:val="Heading1chapter"/>
        <w:bidi w:val="0"/>
        <w:jc w:val="left"/>
        <w:rPr/>
      </w:pPr>
      <w:r>
        <w:rPr/>
        <w:t>Chapter 5 — Functional Verification</w:t>
      </w:r>
    </w:p>
    <w:p>
      <w:pPr>
        <w:pStyle w:val="Heading2"/>
        <w:bidi w:val="0"/>
        <w:jc w:val="left"/>
        <w:rPr/>
      </w:pPr>
      <w:r>
        <w:rPr/>
        <w:t>5.1 Verification Strategy</w:t>
      </w:r>
    </w:p>
    <w:p>
      <w:pPr>
        <w:pStyle w:val="BodyText"/>
        <w:bidi w:val="0"/>
        <w:rPr/>
      </w:pPr>
      <w:r>
        <w:rPr/>
        <w:t xml:space="preserve">Correctness was addressed at two complementary levels. At the </w:t>
      </w:r>
      <w:r>
        <w:rPr>
          <w:rStyle w:val="Strong"/>
        </w:rPr>
        <w:t>system level</w:t>
      </w:r>
      <w:r>
        <w:rPr/>
        <w:t>, the integrated design produces coherent, on</w:t>
        <w:noBreakHyphen/>
        <w:t>topic responses to natural</w:t>
        <w:noBreakHyphen/>
        <w:t xml:space="preserve">language prompts (Chapter 6 reports their quality). At the </w:t>
      </w:r>
      <w:r>
        <w:rPr>
          <w:rStyle w:val="Strong"/>
        </w:rPr>
        <w:t>kernel level</w:t>
      </w:r>
      <w:r>
        <w:rPr/>
        <w:t>, each ztachip compute primitive is compared directly against a reference implementation. The kernel</w:t>
        <w:noBreakHyphen/>
        <w:t>level test is the subject of this chapter because it isolates the correctness of the hardware datapath from the behaviour of the full model.</w:t>
      </w:r>
    </w:p>
    <w:p>
      <w:pPr>
        <w:pStyle w:val="Heading2"/>
        <w:bidi w:val="0"/>
        <w:jc w:val="left"/>
        <w:rPr/>
      </w:pPr>
      <w:r>
        <w:rPr/>
        <w:t>5.2 Kernel</w:t>
        <w:noBreakHyphen/>
        <w:t>Level Verification Methodology</w:t>
      </w:r>
    </w:p>
    <w:p>
      <w:pPr>
        <w:pStyle w:val="BodyText"/>
        <w:bidi w:val="0"/>
        <w:rPr/>
      </w:pPr>
      <w:r>
        <w:rPr/>
        <w:t>A dedicated firmware build (</w:t>
      </w:r>
      <w:r>
        <w:rPr>
          <w:rStyle w:val="SourceText"/>
        </w:rPr>
        <w:t>KERNEL_TEST</w:t>
      </w:r>
      <w:r>
        <w:rPr/>
        <w:t>) executes each compute kernel on self</w:t>
        <w:noBreakHyphen/>
        <w:t>generated input data and compares its output, element by element, against the bit</w:t>
        <w:noBreakHyphen/>
        <w:t>exact reference C implementation distributed with ztachip (</w:t>
      </w:r>
      <w:r>
        <w:rPr>
          <w:rStyle w:val="SourceText"/>
        </w:rPr>
        <w:t>llm_ref.c</w:t>
      </w:r>
      <w:r>
        <w:rPr/>
        <w:t>). The comparison counts matching elements (</w:t>
      </w:r>
      <w:r>
        <w:rPr>
          <w:rStyle w:val="SourceText"/>
        </w:rPr>
        <w:t>ok</w:t>
      </w:r>
      <w:r>
        <w:rPr/>
        <w:t>) and mismatching elements (</w:t>
      </w:r>
      <w:r>
        <w:rPr>
          <w:rStyle w:val="SourceText"/>
        </w:rPr>
        <w:t>bad</w:t>
      </w:r>
      <w:r>
        <w:rPr/>
        <w:t>/</w:t>
      </w:r>
      <w:r>
        <w:rPr>
          <w:rStyle w:val="SourceText"/>
        </w:rPr>
        <w:t>fail</w:t>
      </w:r>
      <w:r>
        <w:rPr/>
        <w:t>); correctness requires zero mismatches. No model is loaded, as the tests synthesise their own operands. Results are emitted over the mailbox and captured by the host.</w:t>
      </w:r>
    </w:p>
    <w:p>
      <w:pPr>
        <w:pStyle w:val="BodyText"/>
        <w:bidi w:val="0"/>
        <w:rPr/>
      </w:pPr>
      <w:r>
        <w:rPr/>
        <w:t xml:space="preserve">A key methodological point is that this verification is performed </w:t>
      </w:r>
      <w:r>
        <w:rPr>
          <w:rStyle w:val="Strong"/>
        </w:rPr>
        <w:t>on silicon rather than in simulation</w:t>
      </w:r>
      <w:r>
        <w:rPr/>
        <w:t>. The heavy kernels — in particular the INT4/INT8 matrix multiplications that constitute the bulk of every transformer layer — require on the order of billions of cycles and are intractable to simulate at register</w:t>
        <w:noBreakHyphen/>
        <w:t>transfer level (hours of wall</w:t>
        <w:noBreakHyphen/>
        <w:t>clock time per kernel), whereas they complete in seconds on the device. On</w:t>
        <w:noBreakHyphen/>
        <w:t>silicon execution is therefore the only practical route to their end</w:t>
        <w:noBreakHyphen/>
        <w:t>to</w:t>
        <w:noBreakHyphen/>
        <w:t>end verification.</w:t>
      </w:r>
    </w:p>
    <w:p>
      <w:pPr>
        <w:pStyle w:val="Heading2"/>
        <w:bidi w:val="0"/>
        <w:jc w:val="left"/>
        <w:rPr/>
      </w:pPr>
      <w:r>
        <w:rPr/>
        <w:t>5.3 Results</w:t>
      </w:r>
    </w:p>
    <w:p>
      <w:pPr>
        <w:pStyle w:val="BodyText"/>
        <w:bidi w:val="0"/>
        <w:rPr/>
      </w:pPr>
      <w:r>
        <w:rPr/>
        <w:t xml:space="preserve">Table 5.1 reports the outcome. All eleven kernels matched the reference exactly. The </w:t>
      </w:r>
      <w:r>
        <w:rPr>
          <w:rStyle w:val="SourceText"/>
        </w:rPr>
        <w:t>ok</w:t>
      </w:r>
      <w:r>
        <w:rPr/>
        <w:t xml:space="preserve"> column records the number of compared elements (a measure of test coverage, determined by each kernel's test</w:t>
        <w:noBreakHyphen/>
        <w:t>vector size); every kernel reported zero mismatches.</w:t>
      </w:r>
    </w:p>
    <w:p>
      <w:pPr>
        <w:pStyle w:val="BodyText"/>
        <w:bidi w:val="0"/>
        <w:rPr/>
      </w:pPr>
      <w:r>
        <w:rPr>
          <w:rStyle w:val="Strong"/>
        </w:rPr>
        <w:t>Table 5.1 — On</w:t>
        <w:noBreakHyphen/>
        <w:t>silicon kernel verification results (XC7Z020 at 93.75 MHz).</w:t>
      </w:r>
    </w:p>
    <w:tbl>
      <w:tblPr>
        <w:tblW w:w="7869" w:type="dxa"/>
        <w:jc w:val="left"/>
        <w:tblInd w:w="0" w:type="dxa"/>
        <w:tblLayout w:type="fixed"/>
        <w:tblCellMar>
          <w:top w:w="28" w:type="dxa"/>
          <w:left w:w="28" w:type="dxa"/>
          <w:bottom w:w="28" w:type="dxa"/>
          <w:right w:w="28" w:type="dxa"/>
        </w:tblCellMar>
      </w:tblPr>
      <w:tblGrid>
        <w:gridCol w:w="346"/>
        <w:gridCol w:w="1168"/>
        <w:gridCol w:w="2373"/>
        <w:gridCol w:w="1246"/>
        <w:gridCol w:w="2736"/>
      </w:tblGrid>
      <w:tr>
        <w:trPr>
          <w:tblHeader w:val="true"/>
        </w:trPr>
        <w:tc>
          <w:tcPr>
            <w:tcW w:w="346" w:type="dxa"/>
            <w:tcBorders/>
            <w:vAlign w:val="center"/>
          </w:tcPr>
          <w:p>
            <w:pPr>
              <w:pStyle w:val="TableHeading"/>
              <w:bidi w:val="0"/>
              <w:spacing w:before="0" w:after="283"/>
              <w:ind w:hanging="0" w:left="0" w:right="0"/>
              <w:jc w:val="right"/>
              <w:rPr/>
            </w:pPr>
            <w:r>
              <w:rPr/>
              <w:t>#</w:t>
            </w:r>
          </w:p>
        </w:tc>
        <w:tc>
          <w:tcPr>
            <w:tcW w:w="1168" w:type="dxa"/>
            <w:tcBorders/>
            <w:vAlign w:val="center"/>
          </w:tcPr>
          <w:p>
            <w:pPr>
              <w:pStyle w:val="TableHeading"/>
              <w:bidi w:val="0"/>
              <w:spacing w:before="0" w:after="283"/>
              <w:ind w:hanging="0" w:left="0" w:right="0"/>
              <w:jc w:val="left"/>
              <w:rPr/>
            </w:pPr>
            <w:r>
              <w:rPr/>
              <w:t>Kernel</w:t>
            </w:r>
          </w:p>
        </w:tc>
        <w:tc>
          <w:tcPr>
            <w:tcW w:w="2373" w:type="dxa"/>
            <w:tcBorders/>
            <w:vAlign w:val="center"/>
          </w:tcPr>
          <w:p>
            <w:pPr>
              <w:pStyle w:val="TableHeading"/>
              <w:bidi w:val="0"/>
              <w:spacing w:before="0" w:after="283"/>
              <w:ind w:hanging="0" w:left="0" w:right="0"/>
              <w:jc w:val="right"/>
              <w:rPr/>
            </w:pPr>
            <w:r>
              <w:rPr/>
              <w:t>Elements compared (</w:t>
            </w:r>
            <w:r>
              <w:rPr>
                <w:rStyle w:val="SourceText"/>
              </w:rPr>
              <w:t>ok</w:t>
            </w:r>
            <w:r>
              <w:rPr/>
              <w:t>)</w:t>
            </w:r>
          </w:p>
        </w:tc>
        <w:tc>
          <w:tcPr>
            <w:tcW w:w="1246" w:type="dxa"/>
            <w:tcBorders/>
            <w:vAlign w:val="center"/>
          </w:tcPr>
          <w:p>
            <w:pPr>
              <w:pStyle w:val="TableHeading"/>
              <w:bidi w:val="0"/>
              <w:spacing w:before="0" w:after="283"/>
              <w:ind w:hanging="0" w:left="0" w:right="0"/>
              <w:jc w:val="right"/>
              <w:rPr/>
            </w:pPr>
            <w:r>
              <w:rPr/>
              <w:t>Mismatches</w:t>
            </w:r>
          </w:p>
        </w:tc>
        <w:tc>
          <w:tcPr>
            <w:tcW w:w="2736" w:type="dxa"/>
            <w:tcBorders/>
            <w:vAlign w:val="center"/>
          </w:tcPr>
          <w:p>
            <w:pPr>
              <w:pStyle w:val="TableHeading"/>
              <w:bidi w:val="0"/>
              <w:spacing w:before="0" w:after="283"/>
              <w:ind w:hanging="0" w:left="0" w:right="0"/>
              <w:jc w:val="left"/>
              <w:rPr/>
            </w:pPr>
            <w:r>
              <w:rPr/>
              <w:t>Function verified</w:t>
            </w:r>
          </w:p>
        </w:tc>
      </w:tr>
      <w:tr>
        <w:trPr/>
        <w:tc>
          <w:tcPr>
            <w:tcW w:w="346" w:type="dxa"/>
            <w:tcBorders/>
            <w:vAlign w:val="center"/>
          </w:tcPr>
          <w:p>
            <w:pPr>
              <w:pStyle w:val="TableContents"/>
              <w:bidi w:val="0"/>
              <w:spacing w:before="0" w:after="283"/>
              <w:ind w:hanging="0" w:left="0" w:right="0"/>
              <w:jc w:val="right"/>
              <w:rPr/>
            </w:pPr>
            <w:r>
              <w:rPr/>
              <w:t>1</w:t>
            </w:r>
          </w:p>
        </w:tc>
        <w:tc>
          <w:tcPr>
            <w:tcW w:w="1168" w:type="dxa"/>
            <w:tcBorders/>
            <w:vAlign w:val="center"/>
          </w:tcPr>
          <w:p>
            <w:pPr>
              <w:pStyle w:val="TableContents"/>
              <w:bidi w:val="0"/>
              <w:spacing w:before="0" w:after="283"/>
              <w:ind w:hanging="0" w:left="0" w:right="0"/>
              <w:jc w:val="left"/>
              <w:rPr/>
            </w:pPr>
            <w:r>
              <w:rPr/>
              <w:t>residual</w:t>
            </w:r>
          </w:p>
        </w:tc>
        <w:tc>
          <w:tcPr>
            <w:tcW w:w="2373" w:type="dxa"/>
            <w:tcBorders/>
            <w:vAlign w:val="center"/>
          </w:tcPr>
          <w:p>
            <w:pPr>
              <w:pStyle w:val="TableContents"/>
              <w:bidi w:val="0"/>
              <w:spacing w:before="0" w:after="283"/>
              <w:ind w:hanging="0" w:left="0" w:right="0"/>
              <w:jc w:val="right"/>
              <w:rPr/>
            </w:pPr>
            <w:r>
              <w:rPr/>
              <w:t>1,152</w:t>
            </w:r>
          </w:p>
        </w:tc>
        <w:tc>
          <w:tcPr>
            <w:tcW w:w="1246" w:type="dxa"/>
            <w:tcBorders/>
            <w:vAlign w:val="center"/>
          </w:tcPr>
          <w:p>
            <w:pPr>
              <w:pStyle w:val="TableContents"/>
              <w:bidi w:val="0"/>
              <w:spacing w:before="0" w:after="283"/>
              <w:ind w:hanging="0" w:left="0" w:right="0"/>
              <w:jc w:val="right"/>
              <w:rPr/>
            </w:pPr>
            <w:r>
              <w:rPr/>
              <w:t>0</w:t>
            </w:r>
          </w:p>
        </w:tc>
        <w:tc>
          <w:tcPr>
            <w:tcW w:w="2736" w:type="dxa"/>
            <w:tcBorders/>
            <w:vAlign w:val="center"/>
          </w:tcPr>
          <w:p>
            <w:pPr>
              <w:pStyle w:val="TableContents"/>
              <w:bidi w:val="0"/>
              <w:spacing w:before="0" w:after="283"/>
              <w:ind w:hanging="0" w:left="0" w:right="0"/>
              <w:jc w:val="left"/>
              <w:rPr/>
            </w:pPr>
            <w:r>
              <w:rPr/>
              <w:t>skip</w:t>
              <w:noBreakHyphen/>
              <w:t>connection addition</w:t>
            </w:r>
          </w:p>
        </w:tc>
      </w:tr>
      <w:tr>
        <w:trPr/>
        <w:tc>
          <w:tcPr>
            <w:tcW w:w="346" w:type="dxa"/>
            <w:tcBorders/>
            <w:vAlign w:val="center"/>
          </w:tcPr>
          <w:p>
            <w:pPr>
              <w:pStyle w:val="TableContents"/>
              <w:bidi w:val="0"/>
              <w:spacing w:before="0" w:after="283"/>
              <w:ind w:hanging="0" w:left="0" w:right="0"/>
              <w:jc w:val="right"/>
              <w:rPr/>
            </w:pPr>
            <w:r>
              <w:rPr/>
              <w:t>2</w:t>
            </w:r>
          </w:p>
        </w:tc>
        <w:tc>
          <w:tcPr>
            <w:tcW w:w="1168" w:type="dxa"/>
            <w:tcBorders/>
            <w:vAlign w:val="center"/>
          </w:tcPr>
          <w:p>
            <w:pPr>
              <w:pStyle w:val="TableContents"/>
              <w:bidi w:val="0"/>
              <w:spacing w:before="0" w:after="283"/>
              <w:ind w:hanging="0" w:left="0" w:right="0"/>
              <w:jc w:val="left"/>
              <w:rPr/>
            </w:pPr>
            <w:r>
              <w:rPr/>
              <w:t>SwiGLU</w:t>
            </w:r>
          </w:p>
        </w:tc>
        <w:tc>
          <w:tcPr>
            <w:tcW w:w="2373" w:type="dxa"/>
            <w:tcBorders/>
            <w:vAlign w:val="center"/>
          </w:tcPr>
          <w:p>
            <w:pPr>
              <w:pStyle w:val="TableContents"/>
              <w:bidi w:val="0"/>
              <w:spacing w:before="0" w:after="283"/>
              <w:ind w:hanging="0" w:left="0" w:right="0"/>
              <w:jc w:val="right"/>
              <w:rPr/>
            </w:pPr>
            <w:r>
              <w:rPr/>
              <w:t>1,536</w:t>
            </w:r>
          </w:p>
        </w:tc>
        <w:tc>
          <w:tcPr>
            <w:tcW w:w="1246" w:type="dxa"/>
            <w:tcBorders/>
            <w:vAlign w:val="center"/>
          </w:tcPr>
          <w:p>
            <w:pPr>
              <w:pStyle w:val="TableContents"/>
              <w:bidi w:val="0"/>
              <w:spacing w:before="0" w:after="283"/>
              <w:ind w:hanging="0" w:left="0" w:right="0"/>
              <w:jc w:val="right"/>
              <w:rPr/>
            </w:pPr>
            <w:r>
              <w:rPr/>
              <w:t>0</w:t>
            </w:r>
          </w:p>
        </w:tc>
        <w:tc>
          <w:tcPr>
            <w:tcW w:w="2736" w:type="dxa"/>
            <w:tcBorders/>
            <w:vAlign w:val="center"/>
          </w:tcPr>
          <w:p>
            <w:pPr>
              <w:pStyle w:val="TableContents"/>
              <w:bidi w:val="0"/>
              <w:spacing w:before="0" w:after="283"/>
              <w:ind w:hanging="0" w:left="0" w:right="0"/>
              <w:jc w:val="left"/>
              <w:rPr/>
            </w:pPr>
            <w:r>
              <w:rPr/>
              <w:t>feed</w:t>
              <w:noBreakHyphen/>
              <w:t>forward activation</w:t>
            </w:r>
          </w:p>
        </w:tc>
      </w:tr>
      <w:tr>
        <w:trPr/>
        <w:tc>
          <w:tcPr>
            <w:tcW w:w="346" w:type="dxa"/>
            <w:tcBorders/>
            <w:vAlign w:val="center"/>
          </w:tcPr>
          <w:p>
            <w:pPr>
              <w:pStyle w:val="TableContents"/>
              <w:bidi w:val="0"/>
              <w:spacing w:before="0" w:after="283"/>
              <w:ind w:hanging="0" w:left="0" w:right="0"/>
              <w:jc w:val="right"/>
              <w:rPr/>
            </w:pPr>
            <w:r>
              <w:rPr/>
              <w:t>3</w:t>
            </w:r>
          </w:p>
        </w:tc>
        <w:tc>
          <w:tcPr>
            <w:tcW w:w="1168" w:type="dxa"/>
            <w:tcBorders/>
            <w:vAlign w:val="center"/>
          </w:tcPr>
          <w:p>
            <w:pPr>
              <w:pStyle w:val="TableContents"/>
              <w:bidi w:val="0"/>
              <w:spacing w:before="0" w:after="283"/>
              <w:ind w:hanging="0" w:left="0" w:right="0"/>
              <w:jc w:val="left"/>
              <w:rPr/>
            </w:pPr>
            <w:r>
              <w:rPr/>
              <w:t>rms</w:t>
            </w:r>
          </w:p>
        </w:tc>
        <w:tc>
          <w:tcPr>
            <w:tcW w:w="2373" w:type="dxa"/>
            <w:tcBorders/>
            <w:vAlign w:val="center"/>
          </w:tcPr>
          <w:p>
            <w:pPr>
              <w:pStyle w:val="TableContents"/>
              <w:bidi w:val="0"/>
              <w:spacing w:before="0" w:after="283"/>
              <w:ind w:hanging="0" w:left="0" w:right="0"/>
              <w:jc w:val="right"/>
              <w:rPr/>
            </w:pPr>
            <w:r>
              <w:rPr/>
              <w:t>1,152</w:t>
            </w:r>
          </w:p>
        </w:tc>
        <w:tc>
          <w:tcPr>
            <w:tcW w:w="1246" w:type="dxa"/>
            <w:tcBorders/>
            <w:vAlign w:val="center"/>
          </w:tcPr>
          <w:p>
            <w:pPr>
              <w:pStyle w:val="TableContents"/>
              <w:bidi w:val="0"/>
              <w:spacing w:before="0" w:after="283"/>
              <w:ind w:hanging="0" w:left="0" w:right="0"/>
              <w:jc w:val="right"/>
              <w:rPr/>
            </w:pPr>
            <w:r>
              <w:rPr/>
              <w:t>0</w:t>
            </w:r>
          </w:p>
        </w:tc>
        <w:tc>
          <w:tcPr>
            <w:tcW w:w="2736" w:type="dxa"/>
            <w:tcBorders/>
            <w:vAlign w:val="center"/>
          </w:tcPr>
          <w:p>
            <w:pPr>
              <w:pStyle w:val="TableContents"/>
              <w:bidi w:val="0"/>
              <w:spacing w:before="0" w:after="283"/>
              <w:ind w:hanging="0" w:left="0" w:right="0"/>
              <w:jc w:val="left"/>
              <w:rPr/>
            </w:pPr>
            <w:r>
              <w:rPr/>
              <w:t>RMS normalisation</w:t>
            </w:r>
          </w:p>
        </w:tc>
      </w:tr>
      <w:tr>
        <w:trPr/>
        <w:tc>
          <w:tcPr>
            <w:tcW w:w="346" w:type="dxa"/>
            <w:tcBorders/>
            <w:vAlign w:val="center"/>
          </w:tcPr>
          <w:p>
            <w:pPr>
              <w:pStyle w:val="TableContents"/>
              <w:bidi w:val="0"/>
              <w:spacing w:before="0" w:after="283"/>
              <w:ind w:hanging="0" w:left="0" w:right="0"/>
              <w:jc w:val="right"/>
              <w:rPr/>
            </w:pPr>
            <w:r>
              <w:rPr/>
              <w:t>4</w:t>
            </w:r>
          </w:p>
        </w:tc>
        <w:tc>
          <w:tcPr>
            <w:tcW w:w="1168" w:type="dxa"/>
            <w:tcBorders/>
            <w:vAlign w:val="center"/>
          </w:tcPr>
          <w:p>
            <w:pPr>
              <w:pStyle w:val="TableContents"/>
              <w:bidi w:val="0"/>
              <w:spacing w:before="0" w:after="283"/>
              <w:ind w:hanging="0" w:left="0" w:right="0"/>
              <w:jc w:val="left"/>
              <w:rPr/>
            </w:pPr>
            <w:r>
              <w:rPr/>
              <w:t>rope</w:t>
            </w:r>
          </w:p>
        </w:tc>
        <w:tc>
          <w:tcPr>
            <w:tcW w:w="2373" w:type="dxa"/>
            <w:tcBorders/>
            <w:vAlign w:val="center"/>
          </w:tcPr>
          <w:p>
            <w:pPr>
              <w:pStyle w:val="TableContents"/>
              <w:bidi w:val="0"/>
              <w:spacing w:before="0" w:after="283"/>
              <w:ind w:hanging="0" w:left="0" w:right="0"/>
              <w:jc w:val="right"/>
              <w:rPr/>
            </w:pPr>
            <w:r>
              <w:rPr/>
              <w:t>384</w:t>
            </w:r>
          </w:p>
        </w:tc>
        <w:tc>
          <w:tcPr>
            <w:tcW w:w="1246" w:type="dxa"/>
            <w:tcBorders/>
            <w:vAlign w:val="center"/>
          </w:tcPr>
          <w:p>
            <w:pPr>
              <w:pStyle w:val="TableContents"/>
              <w:bidi w:val="0"/>
              <w:spacing w:before="0" w:after="283"/>
              <w:ind w:hanging="0" w:left="0" w:right="0"/>
              <w:jc w:val="right"/>
              <w:rPr/>
            </w:pPr>
            <w:r>
              <w:rPr/>
              <w:t>0</w:t>
            </w:r>
          </w:p>
        </w:tc>
        <w:tc>
          <w:tcPr>
            <w:tcW w:w="2736" w:type="dxa"/>
            <w:tcBorders/>
            <w:vAlign w:val="center"/>
          </w:tcPr>
          <w:p>
            <w:pPr>
              <w:pStyle w:val="TableContents"/>
              <w:bidi w:val="0"/>
              <w:spacing w:before="0" w:after="283"/>
              <w:ind w:hanging="0" w:left="0" w:right="0"/>
              <w:jc w:val="left"/>
              <w:rPr/>
            </w:pPr>
            <w:r>
              <w:rPr/>
              <w:t>rotary position embedding</w:t>
            </w:r>
          </w:p>
        </w:tc>
      </w:tr>
      <w:tr>
        <w:trPr/>
        <w:tc>
          <w:tcPr>
            <w:tcW w:w="346" w:type="dxa"/>
            <w:tcBorders/>
            <w:vAlign w:val="center"/>
          </w:tcPr>
          <w:p>
            <w:pPr>
              <w:pStyle w:val="TableContents"/>
              <w:bidi w:val="0"/>
              <w:spacing w:before="0" w:after="283"/>
              <w:ind w:hanging="0" w:left="0" w:right="0"/>
              <w:jc w:val="right"/>
              <w:rPr/>
            </w:pPr>
            <w:r>
              <w:rPr/>
              <w:t>5</w:t>
            </w:r>
          </w:p>
        </w:tc>
        <w:tc>
          <w:tcPr>
            <w:tcW w:w="1168" w:type="dxa"/>
            <w:tcBorders/>
            <w:vAlign w:val="center"/>
          </w:tcPr>
          <w:p>
            <w:pPr>
              <w:pStyle w:val="TableContents"/>
              <w:bidi w:val="0"/>
              <w:spacing w:before="0" w:after="283"/>
              <w:ind w:hanging="0" w:left="0" w:right="0"/>
              <w:jc w:val="left"/>
              <w:rPr/>
            </w:pPr>
            <w:r>
              <w:rPr/>
              <w:t>softmax</w:t>
            </w:r>
          </w:p>
        </w:tc>
        <w:tc>
          <w:tcPr>
            <w:tcW w:w="2373" w:type="dxa"/>
            <w:tcBorders/>
            <w:vAlign w:val="center"/>
          </w:tcPr>
          <w:p>
            <w:pPr>
              <w:pStyle w:val="TableContents"/>
              <w:bidi w:val="0"/>
              <w:spacing w:before="0" w:after="283"/>
              <w:ind w:hanging="0" w:left="0" w:right="0"/>
              <w:jc w:val="right"/>
              <w:rPr/>
            </w:pPr>
            <w:r>
              <w:rPr/>
              <w:t>512</w:t>
            </w:r>
          </w:p>
        </w:tc>
        <w:tc>
          <w:tcPr>
            <w:tcW w:w="1246" w:type="dxa"/>
            <w:tcBorders/>
            <w:vAlign w:val="center"/>
          </w:tcPr>
          <w:p>
            <w:pPr>
              <w:pStyle w:val="TableContents"/>
              <w:bidi w:val="0"/>
              <w:spacing w:before="0" w:after="283"/>
              <w:ind w:hanging="0" w:left="0" w:right="0"/>
              <w:jc w:val="right"/>
              <w:rPr/>
            </w:pPr>
            <w:r>
              <w:rPr/>
              <w:t>0</w:t>
            </w:r>
          </w:p>
        </w:tc>
        <w:tc>
          <w:tcPr>
            <w:tcW w:w="2736" w:type="dxa"/>
            <w:tcBorders/>
            <w:vAlign w:val="center"/>
          </w:tcPr>
          <w:p>
            <w:pPr>
              <w:pStyle w:val="TableContents"/>
              <w:bidi w:val="0"/>
              <w:spacing w:before="0" w:after="283"/>
              <w:ind w:hanging="0" w:left="0" w:right="0"/>
              <w:jc w:val="left"/>
              <w:rPr/>
            </w:pPr>
            <w:r>
              <w:rPr/>
              <w:t>attention normalisation</w:t>
            </w:r>
          </w:p>
        </w:tc>
      </w:tr>
      <w:tr>
        <w:trPr/>
        <w:tc>
          <w:tcPr>
            <w:tcW w:w="346" w:type="dxa"/>
            <w:tcBorders/>
            <w:vAlign w:val="center"/>
          </w:tcPr>
          <w:p>
            <w:pPr>
              <w:pStyle w:val="TableContents"/>
              <w:bidi w:val="0"/>
              <w:spacing w:before="0" w:after="283"/>
              <w:ind w:hanging="0" w:left="0" w:right="0"/>
              <w:jc w:val="right"/>
              <w:rPr/>
            </w:pPr>
            <w:r>
              <w:rPr/>
              <w:t>6</w:t>
            </w:r>
          </w:p>
        </w:tc>
        <w:tc>
          <w:tcPr>
            <w:tcW w:w="1168" w:type="dxa"/>
            <w:tcBorders/>
            <w:vAlign w:val="center"/>
          </w:tcPr>
          <w:p>
            <w:pPr>
              <w:pStyle w:val="TableContents"/>
              <w:bidi w:val="0"/>
              <w:spacing w:before="0" w:after="283"/>
              <w:ind w:hanging="0" w:left="0" w:right="0"/>
              <w:jc w:val="left"/>
              <w:rPr/>
            </w:pPr>
            <w:r>
              <w:rPr/>
              <w:t>k_max</w:t>
            </w:r>
          </w:p>
        </w:tc>
        <w:tc>
          <w:tcPr>
            <w:tcW w:w="2373" w:type="dxa"/>
            <w:tcBorders/>
            <w:vAlign w:val="center"/>
          </w:tcPr>
          <w:p>
            <w:pPr>
              <w:pStyle w:val="TableContents"/>
              <w:bidi w:val="0"/>
              <w:spacing w:before="0" w:after="283"/>
              <w:ind w:hanging="0" w:left="0" w:right="0"/>
              <w:jc w:val="right"/>
              <w:rPr/>
            </w:pPr>
            <w:r>
              <w:rPr/>
              <w:t>1</w:t>
            </w:r>
          </w:p>
        </w:tc>
        <w:tc>
          <w:tcPr>
            <w:tcW w:w="1246" w:type="dxa"/>
            <w:tcBorders/>
            <w:vAlign w:val="center"/>
          </w:tcPr>
          <w:p>
            <w:pPr>
              <w:pStyle w:val="TableContents"/>
              <w:bidi w:val="0"/>
              <w:spacing w:before="0" w:after="283"/>
              <w:ind w:hanging="0" w:left="0" w:right="0"/>
              <w:jc w:val="right"/>
              <w:rPr/>
            </w:pPr>
            <w:r>
              <w:rPr/>
              <w:t>0</w:t>
            </w:r>
          </w:p>
        </w:tc>
        <w:tc>
          <w:tcPr>
            <w:tcW w:w="2736" w:type="dxa"/>
            <w:tcBorders/>
            <w:vAlign w:val="center"/>
          </w:tcPr>
          <w:p>
            <w:pPr>
              <w:pStyle w:val="TableContents"/>
              <w:bidi w:val="0"/>
              <w:spacing w:before="0" w:after="283"/>
              <w:ind w:hanging="0" w:left="0" w:right="0"/>
              <w:jc w:val="left"/>
              <w:rPr/>
            </w:pPr>
            <w:r>
              <w:rPr/>
              <w:t>top</w:t>
              <w:noBreakHyphen/>
              <w:t>K selection</w:t>
            </w:r>
          </w:p>
        </w:tc>
      </w:tr>
      <w:tr>
        <w:trPr/>
        <w:tc>
          <w:tcPr>
            <w:tcW w:w="346" w:type="dxa"/>
            <w:tcBorders/>
            <w:vAlign w:val="center"/>
          </w:tcPr>
          <w:p>
            <w:pPr>
              <w:pStyle w:val="TableContents"/>
              <w:bidi w:val="0"/>
              <w:spacing w:before="0" w:after="283"/>
              <w:ind w:hanging="0" w:left="0" w:right="0"/>
              <w:jc w:val="right"/>
              <w:rPr/>
            </w:pPr>
            <w:r>
              <w:rPr/>
              <w:t>7</w:t>
            </w:r>
          </w:p>
        </w:tc>
        <w:tc>
          <w:tcPr>
            <w:tcW w:w="1168" w:type="dxa"/>
            <w:tcBorders/>
            <w:vAlign w:val="center"/>
          </w:tcPr>
          <w:p>
            <w:pPr>
              <w:pStyle w:val="TableContents"/>
              <w:bidi w:val="0"/>
              <w:spacing w:before="0" w:after="283"/>
              <w:ind w:hanging="0" w:left="0" w:right="0"/>
              <w:jc w:val="left"/>
              <w:rPr/>
            </w:pPr>
            <w:r>
              <w:rPr/>
              <w:t>cosine</w:t>
            </w:r>
          </w:p>
        </w:tc>
        <w:tc>
          <w:tcPr>
            <w:tcW w:w="2373" w:type="dxa"/>
            <w:tcBorders/>
            <w:vAlign w:val="center"/>
          </w:tcPr>
          <w:p>
            <w:pPr>
              <w:pStyle w:val="TableContents"/>
              <w:bidi w:val="0"/>
              <w:spacing w:before="0" w:after="283"/>
              <w:ind w:hanging="0" w:left="0" w:right="0"/>
              <w:jc w:val="right"/>
              <w:rPr/>
            </w:pPr>
            <w:r>
              <w:rPr/>
              <w:t>14,400</w:t>
            </w:r>
          </w:p>
        </w:tc>
        <w:tc>
          <w:tcPr>
            <w:tcW w:w="1246" w:type="dxa"/>
            <w:tcBorders/>
            <w:vAlign w:val="center"/>
          </w:tcPr>
          <w:p>
            <w:pPr>
              <w:pStyle w:val="TableContents"/>
              <w:bidi w:val="0"/>
              <w:spacing w:before="0" w:after="283"/>
              <w:ind w:hanging="0" w:left="0" w:right="0"/>
              <w:jc w:val="right"/>
              <w:rPr/>
            </w:pPr>
            <w:r>
              <w:rPr/>
              <w:t>0</w:t>
            </w:r>
          </w:p>
        </w:tc>
        <w:tc>
          <w:tcPr>
            <w:tcW w:w="2736" w:type="dxa"/>
            <w:tcBorders/>
            <w:vAlign w:val="center"/>
          </w:tcPr>
          <w:p>
            <w:pPr>
              <w:pStyle w:val="TableContents"/>
              <w:bidi w:val="0"/>
              <w:spacing w:before="0" w:after="283"/>
              <w:ind w:hanging="0" w:left="0" w:right="0"/>
              <w:jc w:val="left"/>
              <w:rPr/>
            </w:pPr>
            <w:r>
              <w:rPr/>
              <w:t>RoPE frequency table</w:t>
            </w:r>
          </w:p>
        </w:tc>
      </w:tr>
      <w:tr>
        <w:trPr/>
        <w:tc>
          <w:tcPr>
            <w:tcW w:w="346" w:type="dxa"/>
            <w:tcBorders/>
            <w:vAlign w:val="center"/>
          </w:tcPr>
          <w:p>
            <w:pPr>
              <w:pStyle w:val="TableContents"/>
              <w:bidi w:val="0"/>
              <w:spacing w:before="0" w:after="283"/>
              <w:ind w:hanging="0" w:left="0" w:right="0"/>
              <w:jc w:val="right"/>
              <w:rPr/>
            </w:pPr>
            <w:r>
              <w:rPr/>
              <w:t>8</w:t>
            </w:r>
          </w:p>
        </w:tc>
        <w:tc>
          <w:tcPr>
            <w:tcW w:w="1168" w:type="dxa"/>
            <w:tcBorders/>
            <w:vAlign w:val="center"/>
          </w:tcPr>
          <w:p>
            <w:pPr>
              <w:pStyle w:val="TableContents"/>
              <w:bidi w:val="0"/>
              <w:spacing w:before="0" w:after="283"/>
              <w:ind w:hanging="0" w:left="0" w:right="0"/>
              <w:jc w:val="left"/>
              <w:rPr/>
            </w:pPr>
            <w:r>
              <w:rPr/>
              <w:t>sine</w:t>
            </w:r>
          </w:p>
        </w:tc>
        <w:tc>
          <w:tcPr>
            <w:tcW w:w="2373" w:type="dxa"/>
            <w:tcBorders/>
            <w:vAlign w:val="center"/>
          </w:tcPr>
          <w:p>
            <w:pPr>
              <w:pStyle w:val="TableContents"/>
              <w:bidi w:val="0"/>
              <w:spacing w:before="0" w:after="283"/>
              <w:ind w:hanging="0" w:left="0" w:right="0"/>
              <w:jc w:val="right"/>
              <w:rPr/>
            </w:pPr>
            <w:r>
              <w:rPr/>
              <w:t>14,400</w:t>
            </w:r>
          </w:p>
        </w:tc>
        <w:tc>
          <w:tcPr>
            <w:tcW w:w="1246" w:type="dxa"/>
            <w:tcBorders/>
            <w:vAlign w:val="center"/>
          </w:tcPr>
          <w:p>
            <w:pPr>
              <w:pStyle w:val="TableContents"/>
              <w:bidi w:val="0"/>
              <w:spacing w:before="0" w:after="283"/>
              <w:ind w:hanging="0" w:left="0" w:right="0"/>
              <w:jc w:val="right"/>
              <w:rPr/>
            </w:pPr>
            <w:r>
              <w:rPr/>
              <w:t>0</w:t>
            </w:r>
          </w:p>
        </w:tc>
        <w:tc>
          <w:tcPr>
            <w:tcW w:w="2736" w:type="dxa"/>
            <w:tcBorders/>
            <w:vAlign w:val="center"/>
          </w:tcPr>
          <w:p>
            <w:pPr>
              <w:pStyle w:val="TableContents"/>
              <w:bidi w:val="0"/>
              <w:spacing w:before="0" w:after="283"/>
              <w:ind w:hanging="0" w:left="0" w:right="0"/>
              <w:jc w:val="left"/>
              <w:rPr/>
            </w:pPr>
            <w:r>
              <w:rPr/>
              <w:t>RoPE frequency table</w:t>
            </w:r>
          </w:p>
        </w:tc>
      </w:tr>
      <w:tr>
        <w:trPr/>
        <w:tc>
          <w:tcPr>
            <w:tcW w:w="346" w:type="dxa"/>
            <w:tcBorders/>
            <w:vAlign w:val="center"/>
          </w:tcPr>
          <w:p>
            <w:pPr>
              <w:pStyle w:val="TableContents"/>
              <w:bidi w:val="0"/>
              <w:spacing w:before="0" w:after="283"/>
              <w:ind w:hanging="0" w:left="0" w:right="0"/>
              <w:jc w:val="right"/>
              <w:rPr/>
            </w:pPr>
            <w:r>
              <w:rPr/>
              <w:t>9</w:t>
            </w:r>
          </w:p>
        </w:tc>
        <w:tc>
          <w:tcPr>
            <w:tcW w:w="1168" w:type="dxa"/>
            <w:tcBorders/>
            <w:vAlign w:val="center"/>
          </w:tcPr>
          <w:p>
            <w:pPr>
              <w:pStyle w:val="TableContents"/>
              <w:bidi w:val="0"/>
              <w:spacing w:before="0" w:after="283"/>
              <w:ind w:hanging="0" w:left="0" w:right="0"/>
              <w:jc w:val="left"/>
              <w:rPr/>
            </w:pPr>
            <w:r>
              <w:rPr/>
              <w:t>quantize</w:t>
            </w:r>
          </w:p>
        </w:tc>
        <w:tc>
          <w:tcPr>
            <w:tcW w:w="2373" w:type="dxa"/>
            <w:tcBorders/>
            <w:vAlign w:val="center"/>
          </w:tcPr>
          <w:p>
            <w:pPr>
              <w:pStyle w:val="TableContents"/>
              <w:bidi w:val="0"/>
              <w:spacing w:before="0" w:after="283"/>
              <w:ind w:hanging="0" w:left="0" w:right="0"/>
              <w:jc w:val="right"/>
              <w:rPr/>
            </w:pPr>
            <w:r>
              <w:rPr/>
              <w:t>2,048</w:t>
            </w:r>
          </w:p>
        </w:tc>
        <w:tc>
          <w:tcPr>
            <w:tcW w:w="1246" w:type="dxa"/>
            <w:tcBorders/>
            <w:vAlign w:val="center"/>
          </w:tcPr>
          <w:p>
            <w:pPr>
              <w:pStyle w:val="TableContents"/>
              <w:bidi w:val="0"/>
              <w:spacing w:before="0" w:after="283"/>
              <w:ind w:hanging="0" w:left="0" w:right="0"/>
              <w:jc w:val="right"/>
              <w:rPr/>
            </w:pPr>
            <w:r>
              <w:rPr/>
              <w:t>0</w:t>
            </w:r>
          </w:p>
        </w:tc>
        <w:tc>
          <w:tcPr>
            <w:tcW w:w="2736" w:type="dxa"/>
            <w:tcBorders/>
            <w:vAlign w:val="center"/>
          </w:tcPr>
          <w:p>
            <w:pPr>
              <w:pStyle w:val="TableContents"/>
              <w:bidi w:val="0"/>
              <w:spacing w:before="0" w:after="283"/>
              <w:ind w:hanging="0" w:left="0" w:right="0"/>
              <w:jc w:val="left"/>
              <w:rPr/>
            </w:pPr>
            <w:r>
              <w:rPr/>
              <w:t>weight quantisation</w:t>
            </w:r>
          </w:p>
        </w:tc>
      </w:tr>
      <w:tr>
        <w:trPr/>
        <w:tc>
          <w:tcPr>
            <w:tcW w:w="346" w:type="dxa"/>
            <w:tcBorders/>
            <w:vAlign w:val="center"/>
          </w:tcPr>
          <w:p>
            <w:pPr>
              <w:pStyle w:val="TableContents"/>
              <w:bidi w:val="0"/>
              <w:spacing w:before="0" w:after="283"/>
              <w:ind w:hanging="0" w:left="0" w:right="0"/>
              <w:jc w:val="right"/>
              <w:rPr/>
            </w:pPr>
            <w:r>
              <w:rPr/>
              <w:t>10</w:t>
            </w:r>
          </w:p>
        </w:tc>
        <w:tc>
          <w:tcPr>
            <w:tcW w:w="1168" w:type="dxa"/>
            <w:tcBorders/>
            <w:vAlign w:val="center"/>
          </w:tcPr>
          <w:p>
            <w:pPr>
              <w:pStyle w:val="TableContents"/>
              <w:bidi w:val="0"/>
              <w:spacing w:before="0" w:after="283"/>
              <w:ind w:hanging="0" w:left="0" w:right="0"/>
              <w:jc w:val="left"/>
              <w:rPr/>
            </w:pPr>
            <w:r>
              <w:rPr>
                <w:rStyle w:val="Strong"/>
              </w:rPr>
              <w:t>matmul_q4</w:t>
            </w:r>
          </w:p>
        </w:tc>
        <w:tc>
          <w:tcPr>
            <w:tcW w:w="2373" w:type="dxa"/>
            <w:tcBorders/>
            <w:vAlign w:val="center"/>
          </w:tcPr>
          <w:p>
            <w:pPr>
              <w:pStyle w:val="TableContents"/>
              <w:bidi w:val="0"/>
              <w:spacing w:before="0" w:after="283"/>
              <w:ind w:hanging="0" w:left="0" w:right="0"/>
              <w:jc w:val="right"/>
              <w:rPr/>
            </w:pPr>
            <w:r>
              <w:rPr/>
              <w:t>1,536</w:t>
            </w:r>
          </w:p>
        </w:tc>
        <w:tc>
          <w:tcPr>
            <w:tcW w:w="1246" w:type="dxa"/>
            <w:tcBorders/>
            <w:vAlign w:val="center"/>
          </w:tcPr>
          <w:p>
            <w:pPr>
              <w:pStyle w:val="TableContents"/>
              <w:bidi w:val="0"/>
              <w:spacing w:before="0" w:after="283"/>
              <w:ind w:hanging="0" w:left="0" w:right="0"/>
              <w:jc w:val="right"/>
              <w:rPr/>
            </w:pPr>
            <w:r>
              <w:rPr/>
              <w:t>0</w:t>
            </w:r>
          </w:p>
        </w:tc>
        <w:tc>
          <w:tcPr>
            <w:tcW w:w="2736" w:type="dxa"/>
            <w:tcBorders/>
            <w:vAlign w:val="center"/>
          </w:tcPr>
          <w:p>
            <w:pPr>
              <w:pStyle w:val="TableContents"/>
              <w:bidi w:val="0"/>
              <w:spacing w:before="0" w:after="283"/>
              <w:ind w:hanging="0" w:left="0" w:right="0"/>
              <w:jc w:val="left"/>
              <w:rPr/>
            </w:pPr>
            <w:r>
              <w:rPr>
                <w:rStyle w:val="Strong"/>
              </w:rPr>
              <w:t>INT4 matrix multiplication</w:t>
            </w:r>
          </w:p>
        </w:tc>
      </w:tr>
      <w:tr>
        <w:trPr/>
        <w:tc>
          <w:tcPr>
            <w:tcW w:w="346" w:type="dxa"/>
            <w:tcBorders/>
            <w:vAlign w:val="center"/>
          </w:tcPr>
          <w:p>
            <w:pPr>
              <w:pStyle w:val="TableContents"/>
              <w:bidi w:val="0"/>
              <w:spacing w:before="0" w:after="283"/>
              <w:ind w:hanging="0" w:left="0" w:right="0"/>
              <w:jc w:val="right"/>
              <w:rPr/>
            </w:pPr>
            <w:r>
              <w:rPr/>
              <w:t>11</w:t>
            </w:r>
          </w:p>
        </w:tc>
        <w:tc>
          <w:tcPr>
            <w:tcW w:w="1168" w:type="dxa"/>
            <w:tcBorders/>
            <w:vAlign w:val="center"/>
          </w:tcPr>
          <w:p>
            <w:pPr>
              <w:pStyle w:val="TableContents"/>
              <w:bidi w:val="0"/>
              <w:spacing w:before="0" w:after="283"/>
              <w:ind w:hanging="0" w:left="0" w:right="0"/>
              <w:jc w:val="left"/>
              <w:rPr/>
            </w:pPr>
            <w:r>
              <w:rPr>
                <w:rStyle w:val="Strong"/>
              </w:rPr>
              <w:t>matmul_q8</w:t>
            </w:r>
          </w:p>
        </w:tc>
        <w:tc>
          <w:tcPr>
            <w:tcW w:w="2373" w:type="dxa"/>
            <w:tcBorders/>
            <w:vAlign w:val="center"/>
          </w:tcPr>
          <w:p>
            <w:pPr>
              <w:pStyle w:val="TableContents"/>
              <w:bidi w:val="0"/>
              <w:spacing w:before="0" w:after="283"/>
              <w:ind w:hanging="0" w:left="0" w:right="0"/>
              <w:jc w:val="right"/>
              <w:rPr/>
            </w:pPr>
            <w:r>
              <w:rPr/>
              <w:t>1,536</w:t>
            </w:r>
          </w:p>
        </w:tc>
        <w:tc>
          <w:tcPr>
            <w:tcW w:w="1246" w:type="dxa"/>
            <w:tcBorders/>
            <w:vAlign w:val="center"/>
          </w:tcPr>
          <w:p>
            <w:pPr>
              <w:pStyle w:val="TableContents"/>
              <w:bidi w:val="0"/>
              <w:spacing w:before="0" w:after="283"/>
              <w:ind w:hanging="0" w:left="0" w:right="0"/>
              <w:jc w:val="right"/>
              <w:rPr/>
            </w:pPr>
            <w:r>
              <w:rPr/>
              <w:t>0</w:t>
            </w:r>
          </w:p>
        </w:tc>
        <w:tc>
          <w:tcPr>
            <w:tcW w:w="2736" w:type="dxa"/>
            <w:tcBorders/>
            <w:vAlign w:val="center"/>
          </w:tcPr>
          <w:p>
            <w:pPr>
              <w:pStyle w:val="TableContents"/>
              <w:bidi w:val="0"/>
              <w:spacing w:before="0" w:after="283"/>
              <w:ind w:hanging="0" w:left="0" w:right="0"/>
              <w:jc w:val="left"/>
              <w:rPr/>
            </w:pPr>
            <w:r>
              <w:rPr>
                <w:rStyle w:val="Strong"/>
              </w:rPr>
              <w:t>INT8 matrix multiplication</w:t>
            </w:r>
          </w:p>
        </w:tc>
      </w:tr>
      <w:tr>
        <w:trPr/>
        <w:tc>
          <w:tcPr>
            <w:tcW w:w="346" w:type="dxa"/>
            <w:tcBorders/>
            <w:vAlign w:val="center"/>
          </w:tcPr>
          <w:p>
            <w:pPr>
              <w:pStyle w:val="TableContents"/>
              <w:bidi w:val="0"/>
              <w:spacing w:before="0" w:after="283"/>
              <w:ind w:hanging="0" w:left="0" w:right="0"/>
              <w:rPr>
                <w:sz w:val="4"/>
                <w:szCs w:val="4"/>
              </w:rPr>
            </w:pPr>
            <w:r>
              <w:rPr>
                <w:sz w:val="4"/>
                <w:szCs w:val="4"/>
              </w:rPr>
            </w:r>
          </w:p>
        </w:tc>
        <w:tc>
          <w:tcPr>
            <w:tcW w:w="1168" w:type="dxa"/>
            <w:tcBorders/>
            <w:vAlign w:val="center"/>
          </w:tcPr>
          <w:p>
            <w:pPr>
              <w:pStyle w:val="TableContents"/>
              <w:bidi w:val="0"/>
              <w:spacing w:before="0" w:after="283"/>
              <w:ind w:hanging="0" w:left="0" w:right="0"/>
              <w:jc w:val="left"/>
              <w:rPr/>
            </w:pPr>
            <w:r>
              <w:rPr>
                <w:rStyle w:val="Strong"/>
              </w:rPr>
              <w:t>Total</w:t>
            </w:r>
          </w:p>
        </w:tc>
        <w:tc>
          <w:tcPr>
            <w:tcW w:w="2373" w:type="dxa"/>
            <w:tcBorders/>
            <w:vAlign w:val="center"/>
          </w:tcPr>
          <w:p>
            <w:pPr>
              <w:pStyle w:val="TableContents"/>
              <w:bidi w:val="0"/>
              <w:spacing w:before="0" w:after="283"/>
              <w:ind w:hanging="0" w:left="0" w:right="0"/>
              <w:jc w:val="right"/>
              <w:rPr/>
            </w:pPr>
            <w:r>
              <w:rPr>
                <w:rStyle w:val="Strong"/>
              </w:rPr>
              <w:t xml:space="preserve">≈ </w:t>
            </w:r>
            <w:r>
              <w:rPr>
                <w:rStyle w:val="Strong"/>
              </w:rPr>
              <w:t>38,657</w:t>
            </w:r>
          </w:p>
        </w:tc>
        <w:tc>
          <w:tcPr>
            <w:tcW w:w="1246" w:type="dxa"/>
            <w:tcBorders/>
            <w:vAlign w:val="center"/>
          </w:tcPr>
          <w:p>
            <w:pPr>
              <w:pStyle w:val="TableContents"/>
              <w:bidi w:val="0"/>
              <w:spacing w:before="0" w:after="283"/>
              <w:ind w:hanging="0" w:left="0" w:right="0"/>
              <w:jc w:val="right"/>
              <w:rPr/>
            </w:pPr>
            <w:r>
              <w:rPr>
                <w:rStyle w:val="Strong"/>
              </w:rPr>
              <w:t>0</w:t>
            </w:r>
          </w:p>
        </w:tc>
        <w:tc>
          <w:tcPr>
            <w:tcW w:w="2736" w:type="dxa"/>
            <w:tcBorders/>
            <w:vAlign w:val="center"/>
          </w:tcPr>
          <w:p>
            <w:pPr>
              <w:pStyle w:val="TableContents"/>
              <w:bidi w:val="0"/>
              <w:spacing w:before="0" w:after="283"/>
              <w:rPr>
                <w:sz w:val="4"/>
                <w:szCs w:val="4"/>
              </w:rPr>
            </w:pPr>
            <w:r>
              <w:rPr>
                <w:sz w:val="4"/>
                <w:szCs w:val="4"/>
              </w:rPr>
            </w:r>
          </w:p>
        </w:tc>
      </w:tr>
    </w:tbl>
    <w:p>
      <w:pPr>
        <w:pStyle w:val="Heading2"/>
        <w:bidi w:val="0"/>
        <w:jc w:val="left"/>
        <w:rPr/>
      </w:pPr>
      <w:r>
        <w:rPr/>
        <w:t>5.4 Discussion</w:t>
      </w:r>
    </w:p>
    <w:p>
      <w:pPr>
        <w:pStyle w:val="BodyText"/>
        <w:bidi w:val="0"/>
        <w:rPr/>
      </w:pPr>
      <w:r>
        <w:rPr/>
        <w:t>The result establishes that the ztachip compute datapath, as integrated on the ZC702, is mathematically faithful to the reference across the full set of LLM kernels, with particular significance for the matrix</w:t>
        <w:noBreakHyphen/>
        <w:t>multiply primitives that cannot be verified by simulation. Together with the system</w:t>
        <w:noBreakHyphen/>
        <w:t>level evidence that the model produces coherent output, this provides independent, layered assurance of functional correctness.</w:t>
      </w:r>
    </w:p>
    <w:p>
      <w:pPr>
        <w:pStyle w:val="HorizontalLine"/>
        <w:bidi w:val="0"/>
        <w:jc w:val="left"/>
        <w:rPr/>
      </w:pPr>
      <w:r>
        <w:rPr/>
      </w:r>
    </w:p>
    <w:p>
      <w:pPr>
        <w:pStyle w:val="Heading1chapter"/>
        <w:bidi w:val="0"/>
        <w:jc w:val="left"/>
        <w:rPr/>
      </w:pPr>
      <w:r>
        <w:rPr/>
        <w:t>Chapter 6 — Performance Characterisation and Results</w:t>
      </w:r>
    </w:p>
    <w:p>
      <w:pPr>
        <w:pStyle w:val="Heading2"/>
        <w:bidi w:val="0"/>
        <w:jc w:val="left"/>
        <w:rPr/>
      </w:pPr>
      <w:r>
        <w:rPr/>
        <w:t>6.1 Experimental Methodology</w:t>
      </w:r>
    </w:p>
    <w:p>
      <w:pPr>
        <w:pStyle w:val="BodyText"/>
        <w:bidi w:val="0"/>
        <w:rPr/>
      </w:pPr>
      <w:r>
        <w:rPr/>
        <w:t>Each model configuration was evaluated on an identical workload of 30 prompts spanning six categories (mathematics, science, geography, history, engineering, and general knowledge), five prompts each, to avoid topic bias. Throughput was measured by host wall</w:t>
        <w:noBreakHyphen/>
        <w:t>clock timing. This is valid because each response is capped so that its text fits within the 4 KB output ring; the firmware therefore never stalls waiting for the host to drain the ring over the slow JTAG link, and host</w:t>
        <w:noBreakHyphen/>
        <w:t>elapsed time closely approximates on</w:t>
        <w:noBreakHyphen/>
        <w:t>device computation time. Memory</w:t>
        <w:noBreakHyphen/>
        <w:t>traffic quantities were obtained from the on</w:t>
        <w:noBreakHyphen/>
        <w:t>chip performance</w:t>
        <w:noBreakHyphen/>
        <w:t>monitoring unit.</w:t>
      </w:r>
    </w:p>
    <w:p>
      <w:pPr>
        <w:pStyle w:val="Heading2"/>
        <w:bidi w:val="0"/>
        <w:jc w:val="left"/>
        <w:rPr/>
      </w:pPr>
      <w:r>
        <w:rPr/>
        <w:t>6.2 Performance Metrics</w:t>
      </w:r>
    </w:p>
    <w:p>
      <w:pPr>
        <w:pStyle w:val="BodyText"/>
        <w:bidi w:val="0"/>
        <w:rPr/>
      </w:pPr>
      <w:r>
        <w:rPr/>
        <w:t>Table 6.1 defines every reported quantity to avoid ambiguity.</w:t>
      </w:r>
    </w:p>
    <w:p>
      <w:pPr>
        <w:pStyle w:val="BodyText"/>
        <w:bidi w:val="0"/>
        <w:rPr/>
      </w:pPr>
      <w:r>
        <w:rPr>
          <w:rStyle w:val="Strong"/>
        </w:rPr>
        <w:t>Table 6.1 — Definitions of reported performance metrics.</w:t>
      </w:r>
    </w:p>
    <w:tbl>
      <w:tblPr>
        <w:tblW w:w="7869" w:type="dxa"/>
        <w:jc w:val="left"/>
        <w:tblInd w:w="0" w:type="dxa"/>
        <w:tblLayout w:type="fixed"/>
        <w:tblCellMar>
          <w:top w:w="28" w:type="dxa"/>
          <w:left w:w="28" w:type="dxa"/>
          <w:bottom w:w="28" w:type="dxa"/>
          <w:right w:w="28" w:type="dxa"/>
        </w:tblCellMar>
      </w:tblPr>
      <w:tblGrid>
        <w:gridCol w:w="1890"/>
        <w:gridCol w:w="1214"/>
        <w:gridCol w:w="4765"/>
      </w:tblGrid>
      <w:tr>
        <w:trPr>
          <w:tblHeader w:val="true"/>
        </w:trPr>
        <w:tc>
          <w:tcPr>
            <w:tcW w:w="1890" w:type="dxa"/>
            <w:tcBorders/>
            <w:vAlign w:val="center"/>
          </w:tcPr>
          <w:p>
            <w:pPr>
              <w:pStyle w:val="TableHeading"/>
              <w:bidi w:val="0"/>
              <w:spacing w:before="0" w:after="283"/>
              <w:ind w:hanging="0" w:left="0" w:right="0"/>
              <w:jc w:val="left"/>
              <w:rPr/>
            </w:pPr>
            <w:r>
              <w:rPr/>
              <w:t>Metric</w:t>
            </w:r>
          </w:p>
        </w:tc>
        <w:tc>
          <w:tcPr>
            <w:tcW w:w="1214" w:type="dxa"/>
            <w:tcBorders/>
            <w:vAlign w:val="center"/>
          </w:tcPr>
          <w:p>
            <w:pPr>
              <w:pStyle w:val="TableHeading"/>
              <w:bidi w:val="0"/>
              <w:spacing w:before="0" w:after="283"/>
              <w:ind w:hanging="0" w:left="0" w:right="0"/>
              <w:jc w:val="left"/>
              <w:rPr/>
            </w:pPr>
            <w:r>
              <w:rPr/>
              <w:t>Unit</w:t>
            </w:r>
          </w:p>
        </w:tc>
        <w:tc>
          <w:tcPr>
            <w:tcW w:w="4765" w:type="dxa"/>
            <w:tcBorders/>
            <w:vAlign w:val="center"/>
          </w:tcPr>
          <w:p>
            <w:pPr>
              <w:pStyle w:val="TableHeading"/>
              <w:bidi w:val="0"/>
              <w:spacing w:before="0" w:after="283"/>
              <w:ind w:hanging="0" w:left="0" w:right="0"/>
              <w:jc w:val="left"/>
              <w:rPr/>
            </w:pPr>
            <w:r>
              <w:rPr/>
              <w:t>Definition</w:t>
            </w:r>
          </w:p>
        </w:tc>
      </w:tr>
      <w:tr>
        <w:trPr/>
        <w:tc>
          <w:tcPr>
            <w:tcW w:w="1890" w:type="dxa"/>
            <w:tcBorders/>
            <w:vAlign w:val="center"/>
          </w:tcPr>
          <w:p>
            <w:pPr>
              <w:pStyle w:val="TableContents"/>
              <w:bidi w:val="0"/>
              <w:spacing w:before="0" w:after="283"/>
              <w:ind w:hanging="0" w:left="0" w:right="0"/>
              <w:jc w:val="left"/>
              <w:rPr/>
            </w:pPr>
            <w:r>
              <w:rPr/>
              <w:t>Throughput (tok/s)</w:t>
            </w:r>
          </w:p>
        </w:tc>
        <w:tc>
          <w:tcPr>
            <w:tcW w:w="1214" w:type="dxa"/>
            <w:tcBorders/>
            <w:vAlign w:val="center"/>
          </w:tcPr>
          <w:p>
            <w:pPr>
              <w:pStyle w:val="TableContents"/>
              <w:bidi w:val="0"/>
              <w:spacing w:before="0" w:after="283"/>
              <w:ind w:hanging="0" w:left="0" w:right="0"/>
              <w:jc w:val="left"/>
              <w:rPr/>
            </w:pPr>
            <w:r>
              <w:rPr/>
              <w:t>tokens/second</w:t>
            </w:r>
          </w:p>
        </w:tc>
        <w:tc>
          <w:tcPr>
            <w:tcW w:w="4765" w:type="dxa"/>
            <w:tcBorders/>
            <w:vAlign w:val="center"/>
          </w:tcPr>
          <w:p>
            <w:pPr>
              <w:pStyle w:val="TableContents"/>
              <w:bidi w:val="0"/>
              <w:spacing w:before="0" w:after="283"/>
              <w:ind w:hanging="0" w:left="0" w:right="0"/>
              <w:jc w:val="left"/>
              <w:rPr/>
            </w:pPr>
            <w:r>
              <w:rPr/>
              <w:t>generated tokens divided by elapsed time; higher is faster</w:t>
            </w:r>
          </w:p>
        </w:tc>
      </w:tr>
      <w:tr>
        <w:trPr/>
        <w:tc>
          <w:tcPr>
            <w:tcW w:w="1890" w:type="dxa"/>
            <w:tcBorders/>
            <w:vAlign w:val="center"/>
          </w:tcPr>
          <w:p>
            <w:pPr>
              <w:pStyle w:val="TableContents"/>
              <w:bidi w:val="0"/>
              <w:spacing w:before="0" w:after="283"/>
              <w:ind w:hanging="0" w:left="0" w:right="0"/>
              <w:jc w:val="left"/>
              <w:rPr/>
            </w:pPr>
            <w:r>
              <w:rPr/>
              <w:t>Mean / Median</w:t>
            </w:r>
          </w:p>
        </w:tc>
        <w:tc>
          <w:tcPr>
            <w:tcW w:w="1214" w:type="dxa"/>
            <w:tcBorders/>
            <w:vAlign w:val="center"/>
          </w:tcPr>
          <w:p>
            <w:pPr>
              <w:pStyle w:val="TableContents"/>
              <w:bidi w:val="0"/>
              <w:spacing w:before="0" w:after="283"/>
              <w:ind w:hanging="0" w:left="0" w:right="0"/>
              <w:jc w:val="left"/>
              <w:rPr/>
            </w:pPr>
            <w:r>
              <w:rPr/>
              <w:t>tok/s</w:t>
            </w:r>
          </w:p>
        </w:tc>
        <w:tc>
          <w:tcPr>
            <w:tcW w:w="4765" w:type="dxa"/>
            <w:tcBorders/>
            <w:vAlign w:val="center"/>
          </w:tcPr>
          <w:p>
            <w:pPr>
              <w:pStyle w:val="TableContents"/>
              <w:bidi w:val="0"/>
              <w:spacing w:before="0" w:after="283"/>
              <w:ind w:hanging="0" w:left="0" w:right="0"/>
              <w:jc w:val="left"/>
              <w:rPr/>
            </w:pPr>
            <w:r>
              <w:rPr/>
              <w:t>arithmetic mean and median over the 30 prompts</w:t>
            </w:r>
          </w:p>
        </w:tc>
      </w:tr>
      <w:tr>
        <w:trPr/>
        <w:tc>
          <w:tcPr>
            <w:tcW w:w="1890" w:type="dxa"/>
            <w:tcBorders/>
            <w:vAlign w:val="center"/>
          </w:tcPr>
          <w:p>
            <w:pPr>
              <w:pStyle w:val="TableContents"/>
              <w:bidi w:val="0"/>
              <w:spacing w:before="0" w:after="283"/>
              <w:ind w:hanging="0" w:left="0" w:right="0"/>
              <w:jc w:val="left"/>
              <w:rPr/>
            </w:pPr>
            <w:r>
              <w:rPr/>
              <w:t>Standard deviation (sd)</w:t>
            </w:r>
          </w:p>
        </w:tc>
        <w:tc>
          <w:tcPr>
            <w:tcW w:w="1214" w:type="dxa"/>
            <w:tcBorders/>
            <w:vAlign w:val="center"/>
          </w:tcPr>
          <w:p>
            <w:pPr>
              <w:pStyle w:val="TableContents"/>
              <w:bidi w:val="0"/>
              <w:spacing w:before="0" w:after="283"/>
              <w:ind w:hanging="0" w:left="0" w:right="0"/>
              <w:jc w:val="left"/>
              <w:rPr/>
            </w:pPr>
            <w:r>
              <w:rPr/>
              <w:t>tok/s</w:t>
            </w:r>
          </w:p>
        </w:tc>
        <w:tc>
          <w:tcPr>
            <w:tcW w:w="4765" w:type="dxa"/>
            <w:tcBorders/>
            <w:vAlign w:val="center"/>
          </w:tcPr>
          <w:p>
            <w:pPr>
              <w:pStyle w:val="TableContents"/>
              <w:bidi w:val="0"/>
              <w:spacing w:before="0" w:after="283"/>
              <w:ind w:hanging="0" w:left="0" w:right="0"/>
              <w:jc w:val="left"/>
              <w:rPr/>
            </w:pPr>
            <w:r>
              <w:rPr/>
              <w:t>run</w:t>
              <w:noBreakHyphen/>
              <w:t>to</w:t>
              <w:noBreakHyphen/>
              <w:t>run dispersion; small values indicate consistency</w:t>
            </w:r>
          </w:p>
        </w:tc>
      </w:tr>
      <w:tr>
        <w:trPr/>
        <w:tc>
          <w:tcPr>
            <w:tcW w:w="1890" w:type="dxa"/>
            <w:tcBorders/>
            <w:vAlign w:val="center"/>
          </w:tcPr>
          <w:p>
            <w:pPr>
              <w:pStyle w:val="TableContents"/>
              <w:bidi w:val="0"/>
              <w:spacing w:before="0" w:after="283"/>
              <w:ind w:hanging="0" w:left="0" w:right="0"/>
              <w:jc w:val="left"/>
              <w:rPr/>
            </w:pPr>
            <w:r>
              <w:rPr/>
              <w:t>TTFT</w:t>
            </w:r>
          </w:p>
        </w:tc>
        <w:tc>
          <w:tcPr>
            <w:tcW w:w="1214" w:type="dxa"/>
            <w:tcBorders/>
            <w:vAlign w:val="center"/>
          </w:tcPr>
          <w:p>
            <w:pPr>
              <w:pStyle w:val="TableContents"/>
              <w:bidi w:val="0"/>
              <w:spacing w:before="0" w:after="283"/>
              <w:ind w:hanging="0" w:left="0" w:right="0"/>
              <w:jc w:val="left"/>
              <w:rPr/>
            </w:pPr>
            <w:r>
              <w:rPr/>
              <w:t>seconds</w:t>
            </w:r>
          </w:p>
        </w:tc>
        <w:tc>
          <w:tcPr>
            <w:tcW w:w="4765" w:type="dxa"/>
            <w:tcBorders/>
            <w:vAlign w:val="center"/>
          </w:tcPr>
          <w:p>
            <w:pPr>
              <w:pStyle w:val="TableContents"/>
              <w:bidi w:val="0"/>
              <w:spacing w:before="0" w:after="283"/>
              <w:ind w:hanging="0" w:left="0" w:right="0"/>
              <w:jc w:val="left"/>
              <w:rPr/>
            </w:pPr>
            <w:r>
              <w:rPr/>
              <w:t>time to first token (prompt</w:t>
              <w:noBreakHyphen/>
              <w:t>processing/prefill latency)</w:t>
            </w:r>
          </w:p>
        </w:tc>
      </w:tr>
      <w:tr>
        <w:trPr/>
        <w:tc>
          <w:tcPr>
            <w:tcW w:w="1890" w:type="dxa"/>
            <w:tcBorders/>
            <w:vAlign w:val="center"/>
          </w:tcPr>
          <w:p>
            <w:pPr>
              <w:pStyle w:val="TableContents"/>
              <w:bidi w:val="0"/>
              <w:spacing w:before="0" w:after="283"/>
              <w:ind w:hanging="0" w:left="0" w:right="0"/>
              <w:jc w:val="left"/>
              <w:rPr/>
            </w:pPr>
            <w:r>
              <w:rPr/>
              <w:t>Generated tokens</w:t>
            </w:r>
          </w:p>
        </w:tc>
        <w:tc>
          <w:tcPr>
            <w:tcW w:w="1214" w:type="dxa"/>
            <w:tcBorders/>
            <w:vAlign w:val="center"/>
          </w:tcPr>
          <w:p>
            <w:pPr>
              <w:pStyle w:val="TableContents"/>
              <w:bidi w:val="0"/>
              <w:spacing w:before="0" w:after="283"/>
              <w:ind w:hanging="0" w:left="0" w:right="0"/>
              <w:jc w:val="left"/>
              <w:rPr/>
            </w:pPr>
            <w:r>
              <w:rPr/>
              <w:t>tokens</w:t>
            </w:r>
          </w:p>
        </w:tc>
        <w:tc>
          <w:tcPr>
            <w:tcW w:w="4765" w:type="dxa"/>
            <w:tcBorders/>
            <w:vAlign w:val="center"/>
          </w:tcPr>
          <w:p>
            <w:pPr>
              <w:pStyle w:val="TableContents"/>
              <w:bidi w:val="0"/>
              <w:spacing w:before="0" w:after="283"/>
              <w:ind w:hanging="0" w:left="0" w:right="0"/>
              <w:jc w:val="left"/>
              <w:rPr/>
            </w:pPr>
            <w:r>
              <w:rPr/>
              <w:t>length of the produced response</w:t>
            </w:r>
          </w:p>
        </w:tc>
      </w:tr>
      <w:tr>
        <w:trPr/>
        <w:tc>
          <w:tcPr>
            <w:tcW w:w="1890" w:type="dxa"/>
            <w:tcBorders/>
            <w:vAlign w:val="center"/>
          </w:tcPr>
          <w:p>
            <w:pPr>
              <w:pStyle w:val="TableContents"/>
              <w:bidi w:val="0"/>
              <w:spacing w:before="0" w:after="283"/>
              <w:ind w:hanging="0" w:left="0" w:right="0"/>
              <w:jc w:val="left"/>
              <w:rPr/>
            </w:pPr>
            <w:r>
              <w:rPr/>
              <w:t>Bytes per token</w:t>
            </w:r>
          </w:p>
        </w:tc>
        <w:tc>
          <w:tcPr>
            <w:tcW w:w="1214" w:type="dxa"/>
            <w:tcBorders/>
            <w:vAlign w:val="center"/>
          </w:tcPr>
          <w:p>
            <w:pPr>
              <w:pStyle w:val="TableContents"/>
              <w:bidi w:val="0"/>
              <w:spacing w:before="0" w:after="283"/>
              <w:ind w:hanging="0" w:left="0" w:right="0"/>
              <w:jc w:val="left"/>
              <w:rPr/>
            </w:pPr>
            <w:r>
              <w:rPr/>
              <w:t>bytes</w:t>
            </w:r>
          </w:p>
        </w:tc>
        <w:tc>
          <w:tcPr>
            <w:tcW w:w="4765" w:type="dxa"/>
            <w:tcBorders/>
            <w:vAlign w:val="center"/>
          </w:tcPr>
          <w:p>
            <w:pPr>
              <w:pStyle w:val="TableContents"/>
              <w:bidi w:val="0"/>
              <w:spacing w:before="0" w:after="283"/>
              <w:ind w:hanging="0" w:left="0" w:right="0"/>
              <w:jc w:val="left"/>
              <w:rPr/>
            </w:pPr>
            <w:r>
              <w:rPr/>
              <w:t>weight bytes read from DDR to produce one token</w:t>
            </w:r>
          </w:p>
        </w:tc>
      </w:tr>
      <w:tr>
        <w:trPr/>
        <w:tc>
          <w:tcPr>
            <w:tcW w:w="1890" w:type="dxa"/>
            <w:tcBorders/>
            <w:vAlign w:val="center"/>
          </w:tcPr>
          <w:p>
            <w:pPr>
              <w:pStyle w:val="TableContents"/>
              <w:bidi w:val="0"/>
              <w:spacing w:before="0" w:after="283"/>
              <w:ind w:hanging="0" w:left="0" w:right="0"/>
              <w:jc w:val="left"/>
              <w:rPr/>
            </w:pPr>
            <w:r>
              <w:rPr/>
              <w:t>DDR read rate</w:t>
            </w:r>
          </w:p>
        </w:tc>
        <w:tc>
          <w:tcPr>
            <w:tcW w:w="1214" w:type="dxa"/>
            <w:tcBorders/>
            <w:vAlign w:val="center"/>
          </w:tcPr>
          <w:p>
            <w:pPr>
              <w:pStyle w:val="TableContents"/>
              <w:bidi w:val="0"/>
              <w:spacing w:before="0" w:after="283"/>
              <w:ind w:hanging="0" w:left="0" w:right="0"/>
              <w:jc w:val="left"/>
              <w:rPr/>
            </w:pPr>
            <w:r>
              <w:rPr/>
              <w:t>MB/s</w:t>
            </w:r>
          </w:p>
        </w:tc>
        <w:tc>
          <w:tcPr>
            <w:tcW w:w="4765" w:type="dxa"/>
            <w:tcBorders/>
            <w:vAlign w:val="center"/>
          </w:tcPr>
          <w:p>
            <w:pPr>
              <w:pStyle w:val="TableContents"/>
              <w:bidi w:val="0"/>
              <w:spacing w:before="0" w:after="283"/>
              <w:ind w:hanging="0" w:left="0" w:right="0"/>
              <w:jc w:val="left"/>
              <w:rPr/>
            </w:pPr>
            <w:r>
              <w:rPr/>
              <w:t>sustained read bandwidth delivered by the memory engine</w:t>
            </w:r>
          </w:p>
        </w:tc>
      </w:tr>
      <w:tr>
        <w:trPr/>
        <w:tc>
          <w:tcPr>
            <w:tcW w:w="1890" w:type="dxa"/>
            <w:tcBorders/>
            <w:vAlign w:val="center"/>
          </w:tcPr>
          <w:p>
            <w:pPr>
              <w:pStyle w:val="TableContents"/>
              <w:bidi w:val="0"/>
              <w:spacing w:before="0" w:after="283"/>
              <w:ind w:hanging="0" w:left="0" w:right="0"/>
              <w:jc w:val="left"/>
              <w:rPr/>
            </w:pPr>
            <w:r>
              <w:rPr/>
              <w:t>Read</w:t>
              <w:noBreakHyphen/>
              <w:t>active fraction</w:t>
            </w:r>
          </w:p>
        </w:tc>
        <w:tc>
          <w:tcPr>
            <w:tcW w:w="1214" w:type="dxa"/>
            <w:tcBorders/>
            <w:vAlign w:val="center"/>
          </w:tcPr>
          <w:p>
            <w:pPr>
              <w:pStyle w:val="TableContents"/>
              <w:bidi w:val="0"/>
              <w:spacing w:before="0" w:after="283"/>
              <w:ind w:hanging="0" w:left="0" w:right="0"/>
              <w:jc w:val="left"/>
              <w:rPr/>
            </w:pPr>
            <w:r>
              <w:rPr/>
              <w:t>%</w:t>
            </w:r>
          </w:p>
        </w:tc>
        <w:tc>
          <w:tcPr>
            <w:tcW w:w="4765" w:type="dxa"/>
            <w:tcBorders/>
            <w:vAlign w:val="center"/>
          </w:tcPr>
          <w:p>
            <w:pPr>
              <w:pStyle w:val="TableContents"/>
              <w:bidi w:val="0"/>
              <w:spacing w:before="0" w:after="283"/>
              <w:ind w:hanging="0" w:left="0" w:right="0"/>
              <w:jc w:val="left"/>
              <w:rPr/>
            </w:pPr>
            <w:r>
              <w:rPr/>
              <w:t>proportion of time the read engine is transferring data</w:t>
            </w:r>
          </w:p>
        </w:tc>
      </w:tr>
      <w:tr>
        <w:trPr/>
        <w:tc>
          <w:tcPr>
            <w:tcW w:w="1890" w:type="dxa"/>
            <w:tcBorders/>
            <w:vAlign w:val="center"/>
          </w:tcPr>
          <w:p>
            <w:pPr>
              <w:pStyle w:val="TableContents"/>
              <w:bidi w:val="0"/>
              <w:spacing w:before="0" w:after="283"/>
              <w:ind w:hanging="0" w:left="0" w:right="0"/>
              <w:jc w:val="left"/>
              <w:rPr/>
            </w:pPr>
            <w:r>
              <w:rPr/>
              <w:t>Read</w:t>
              <w:noBreakHyphen/>
              <w:t>stall fraction</w:t>
            </w:r>
          </w:p>
        </w:tc>
        <w:tc>
          <w:tcPr>
            <w:tcW w:w="1214" w:type="dxa"/>
            <w:tcBorders/>
            <w:vAlign w:val="center"/>
          </w:tcPr>
          <w:p>
            <w:pPr>
              <w:pStyle w:val="TableContents"/>
              <w:bidi w:val="0"/>
              <w:spacing w:before="0" w:after="283"/>
              <w:ind w:hanging="0" w:left="0" w:right="0"/>
              <w:jc w:val="left"/>
              <w:rPr/>
            </w:pPr>
            <w:r>
              <w:rPr/>
              <w:t>%</w:t>
            </w:r>
          </w:p>
        </w:tc>
        <w:tc>
          <w:tcPr>
            <w:tcW w:w="4765" w:type="dxa"/>
            <w:tcBorders/>
            <w:vAlign w:val="center"/>
          </w:tcPr>
          <w:p>
            <w:pPr>
              <w:pStyle w:val="TableContents"/>
              <w:bidi w:val="0"/>
              <w:spacing w:before="0" w:after="283"/>
              <w:ind w:hanging="0" w:left="0" w:right="0"/>
              <w:jc w:val="left"/>
              <w:rPr/>
            </w:pPr>
            <w:r>
              <w:rPr/>
              <w:t>proportion of time the read engine is idle (≈ 100 % − read</w:t>
              <w:noBreakHyphen/>
              <w:t>active)</w:t>
            </w:r>
          </w:p>
        </w:tc>
      </w:tr>
      <w:tr>
        <w:trPr/>
        <w:tc>
          <w:tcPr>
            <w:tcW w:w="1890" w:type="dxa"/>
            <w:tcBorders/>
            <w:vAlign w:val="center"/>
          </w:tcPr>
          <w:p>
            <w:pPr>
              <w:pStyle w:val="TableContents"/>
              <w:bidi w:val="0"/>
              <w:spacing w:before="0" w:after="283"/>
              <w:ind w:hanging="0" w:left="0" w:right="0"/>
              <w:jc w:val="left"/>
              <w:rPr/>
            </w:pPr>
            <w:r>
              <w:rPr/>
              <w:t>Effective bandwidth</w:t>
            </w:r>
          </w:p>
        </w:tc>
        <w:tc>
          <w:tcPr>
            <w:tcW w:w="1214" w:type="dxa"/>
            <w:tcBorders/>
            <w:vAlign w:val="center"/>
          </w:tcPr>
          <w:p>
            <w:pPr>
              <w:pStyle w:val="TableContents"/>
              <w:bidi w:val="0"/>
              <w:spacing w:before="0" w:after="283"/>
              <w:ind w:hanging="0" w:left="0" w:right="0"/>
              <w:jc w:val="left"/>
              <w:rPr/>
            </w:pPr>
            <w:r>
              <w:rPr/>
              <w:t>MB/s</w:t>
            </w:r>
          </w:p>
        </w:tc>
        <w:tc>
          <w:tcPr>
            <w:tcW w:w="4765" w:type="dxa"/>
            <w:tcBorders/>
            <w:vAlign w:val="center"/>
          </w:tcPr>
          <w:p>
            <w:pPr>
              <w:pStyle w:val="TableContents"/>
              <w:bidi w:val="0"/>
              <w:spacing w:before="0" w:after="283"/>
              <w:jc w:val="left"/>
              <w:rPr/>
            </w:pPr>
            <w:r>
              <w:rPr/>
              <w:t>throughput × bytes</w:t>
              <w:noBreakHyphen/>
              <w:t>per</w:t>
              <w:noBreakHyphen/>
              <w:t>token; a derived diagnostic (Section 6.4)</w:t>
            </w:r>
          </w:p>
        </w:tc>
      </w:tr>
    </w:tbl>
    <w:p>
      <w:pPr>
        <w:pStyle w:val="BodyText"/>
        <w:bidi w:val="0"/>
        <w:rPr/>
      </w:pPr>
      <w:r>
        <w:rPr/>
        <w:t>The governing relationship, used throughout the analysis, is:</w:t>
      </w:r>
    </w:p>
    <w:p>
      <w:pPr>
        <w:pStyle w:val="BlockQuotation"/>
        <w:bidi w:val="0"/>
        <w:jc w:val="left"/>
        <w:rPr/>
      </w:pPr>
      <w:r>
        <w:rPr/>
        <w:t>throughput (tok/s) = delivered DDR bandwidth ÷ bytes per token.</w:t>
      </w:r>
    </w:p>
    <w:p>
      <w:pPr>
        <w:pStyle w:val="Heading2"/>
        <w:bidi w:val="0"/>
        <w:jc w:val="left"/>
        <w:rPr/>
      </w:pPr>
      <w:r>
        <w:rPr/>
        <w:t>6.3 Throughput Results</w:t>
      </w:r>
    </w:p>
    <w:p>
      <w:pPr>
        <w:pStyle w:val="BodyText"/>
        <w:bidi w:val="0"/>
        <w:rPr/>
      </w:pPr>
      <w:r>
        <w:rPr/>
        <w:t>Table 6.2 reports the measured throughput and memory traffic for the three configurations.</w:t>
      </w:r>
    </w:p>
    <w:p>
      <w:pPr>
        <w:pStyle w:val="BodyText"/>
        <w:bidi w:val="0"/>
        <w:rPr/>
      </w:pPr>
      <w:r>
        <w:rPr>
          <w:rStyle w:val="Strong"/>
        </w:rPr>
        <w:t>Table 6.2 — Three</w:t>
        <w:noBreakHyphen/>
        <w:t>model throughput and memory</w:t>
        <w:noBreakHyphen/>
        <w:t>traffic results (30 prompts each).</w:t>
      </w:r>
    </w:p>
    <w:tbl>
      <w:tblPr>
        <w:tblW w:w="7869" w:type="dxa"/>
        <w:jc w:val="left"/>
        <w:tblInd w:w="0" w:type="dxa"/>
        <w:tblLayout w:type="fixed"/>
        <w:tblCellMar>
          <w:top w:w="28" w:type="dxa"/>
          <w:left w:w="28" w:type="dxa"/>
          <w:bottom w:w="28" w:type="dxa"/>
          <w:right w:w="28" w:type="dxa"/>
        </w:tblCellMar>
      </w:tblPr>
      <w:tblGrid>
        <w:gridCol w:w="1621"/>
        <w:gridCol w:w="646"/>
        <w:gridCol w:w="841"/>
        <w:gridCol w:w="496"/>
        <w:gridCol w:w="691"/>
        <w:gridCol w:w="676"/>
        <w:gridCol w:w="586"/>
        <w:gridCol w:w="1216"/>
        <w:gridCol w:w="1096"/>
      </w:tblGrid>
      <w:tr>
        <w:trPr>
          <w:tblHeader w:val="true"/>
        </w:trPr>
        <w:tc>
          <w:tcPr>
            <w:tcW w:w="1621" w:type="dxa"/>
            <w:tcBorders/>
            <w:vAlign w:val="center"/>
          </w:tcPr>
          <w:p>
            <w:pPr>
              <w:pStyle w:val="TableHeading"/>
              <w:bidi w:val="0"/>
              <w:spacing w:before="0" w:after="283"/>
              <w:ind w:hanging="0" w:left="0" w:right="0"/>
              <w:jc w:val="left"/>
              <w:rPr/>
            </w:pPr>
            <w:r>
              <w:rPr/>
              <w:t>Configuration</w:t>
            </w:r>
          </w:p>
        </w:tc>
        <w:tc>
          <w:tcPr>
            <w:tcW w:w="646" w:type="dxa"/>
            <w:tcBorders/>
            <w:vAlign w:val="center"/>
          </w:tcPr>
          <w:p>
            <w:pPr>
              <w:pStyle w:val="TableHeading"/>
              <w:bidi w:val="0"/>
              <w:spacing w:before="0" w:after="283"/>
              <w:ind w:hanging="0" w:left="0" w:right="0"/>
              <w:jc w:val="right"/>
              <w:rPr/>
            </w:pPr>
            <w:r>
              <w:rPr/>
              <w:t>Mean tok/s</w:t>
            </w:r>
          </w:p>
        </w:tc>
        <w:tc>
          <w:tcPr>
            <w:tcW w:w="841" w:type="dxa"/>
            <w:tcBorders/>
            <w:vAlign w:val="center"/>
          </w:tcPr>
          <w:p>
            <w:pPr>
              <w:pStyle w:val="TableHeading"/>
              <w:bidi w:val="0"/>
              <w:spacing w:before="0" w:after="283"/>
              <w:ind w:hanging="0" w:left="0" w:right="0"/>
              <w:jc w:val="right"/>
              <w:rPr/>
            </w:pPr>
            <w:r>
              <w:rPr/>
              <w:t>Median</w:t>
            </w:r>
          </w:p>
        </w:tc>
        <w:tc>
          <w:tcPr>
            <w:tcW w:w="496" w:type="dxa"/>
            <w:tcBorders/>
            <w:vAlign w:val="center"/>
          </w:tcPr>
          <w:p>
            <w:pPr>
              <w:pStyle w:val="TableHeading"/>
              <w:bidi w:val="0"/>
              <w:spacing w:before="0" w:after="283"/>
              <w:ind w:hanging="0" w:left="0" w:right="0"/>
              <w:jc w:val="right"/>
              <w:rPr/>
            </w:pPr>
            <w:r>
              <w:rPr/>
              <w:t>sd</w:t>
            </w:r>
          </w:p>
        </w:tc>
        <w:tc>
          <w:tcPr>
            <w:tcW w:w="691" w:type="dxa"/>
            <w:tcBorders/>
            <w:vAlign w:val="center"/>
          </w:tcPr>
          <w:p>
            <w:pPr>
              <w:pStyle w:val="TableHeading"/>
              <w:bidi w:val="0"/>
              <w:spacing w:before="0" w:after="283"/>
              <w:ind w:hanging="0" w:left="0" w:right="0"/>
              <w:jc w:val="right"/>
              <w:rPr/>
            </w:pPr>
            <w:r>
              <w:rPr/>
              <w:t>TTFT (s)</w:t>
            </w:r>
          </w:p>
        </w:tc>
        <w:tc>
          <w:tcPr>
            <w:tcW w:w="676" w:type="dxa"/>
            <w:tcBorders/>
            <w:vAlign w:val="center"/>
          </w:tcPr>
          <w:p>
            <w:pPr>
              <w:pStyle w:val="TableHeading"/>
              <w:bidi w:val="0"/>
              <w:spacing w:before="0" w:after="283"/>
              <w:ind w:hanging="0" w:left="0" w:right="0"/>
              <w:jc w:val="right"/>
              <w:rPr/>
            </w:pPr>
            <w:r>
              <w:rPr/>
              <w:t>Bytes/token</w:t>
            </w:r>
          </w:p>
        </w:tc>
        <w:tc>
          <w:tcPr>
            <w:tcW w:w="586" w:type="dxa"/>
            <w:tcBorders/>
            <w:vAlign w:val="center"/>
          </w:tcPr>
          <w:p>
            <w:pPr>
              <w:pStyle w:val="TableHeading"/>
              <w:bidi w:val="0"/>
              <w:spacing w:before="0" w:after="283"/>
              <w:ind w:hanging="0" w:left="0" w:right="0"/>
              <w:jc w:val="right"/>
              <w:rPr/>
            </w:pPr>
            <w:r>
              <w:rPr/>
              <w:t>DDR read</w:t>
            </w:r>
          </w:p>
        </w:tc>
        <w:tc>
          <w:tcPr>
            <w:tcW w:w="1216" w:type="dxa"/>
            <w:tcBorders/>
            <w:vAlign w:val="center"/>
          </w:tcPr>
          <w:p>
            <w:pPr>
              <w:pStyle w:val="TableHeading"/>
              <w:bidi w:val="0"/>
              <w:spacing w:before="0" w:after="283"/>
              <w:ind w:hanging="0" w:left="0" w:right="0"/>
              <w:jc w:val="right"/>
              <w:rPr/>
            </w:pPr>
            <w:r>
              <w:rPr/>
              <w:t>Read</w:t>
              <w:noBreakHyphen/>
              <w:t>active</w:t>
            </w:r>
          </w:p>
        </w:tc>
        <w:tc>
          <w:tcPr>
            <w:tcW w:w="1096" w:type="dxa"/>
            <w:tcBorders/>
            <w:vAlign w:val="center"/>
          </w:tcPr>
          <w:p>
            <w:pPr>
              <w:pStyle w:val="TableHeading"/>
              <w:bidi w:val="0"/>
              <w:spacing w:before="0" w:after="283"/>
              <w:ind w:hanging="0" w:left="0" w:right="0"/>
              <w:jc w:val="right"/>
              <w:rPr/>
            </w:pPr>
            <w:r>
              <w:rPr/>
              <w:t>Read</w:t>
              <w:noBreakHyphen/>
              <w:t>stall</w:t>
            </w:r>
          </w:p>
        </w:tc>
      </w:tr>
      <w:tr>
        <w:trPr/>
        <w:tc>
          <w:tcPr>
            <w:tcW w:w="1621" w:type="dxa"/>
            <w:tcBorders/>
            <w:vAlign w:val="center"/>
          </w:tcPr>
          <w:p>
            <w:pPr>
              <w:pStyle w:val="TableContents"/>
              <w:bidi w:val="0"/>
              <w:spacing w:before="0" w:after="283"/>
              <w:ind w:hanging="0" w:left="0" w:right="0"/>
              <w:jc w:val="left"/>
              <w:rPr/>
            </w:pPr>
            <w:r>
              <w:rPr/>
              <w:t>SmolLM2</w:t>
              <w:noBreakHyphen/>
              <w:t>135M Q4 (baseline)</w:t>
            </w:r>
          </w:p>
        </w:tc>
        <w:tc>
          <w:tcPr>
            <w:tcW w:w="646" w:type="dxa"/>
            <w:tcBorders/>
            <w:vAlign w:val="center"/>
          </w:tcPr>
          <w:p>
            <w:pPr>
              <w:pStyle w:val="TableContents"/>
              <w:bidi w:val="0"/>
              <w:spacing w:before="0" w:after="283"/>
              <w:ind w:hanging="0" w:left="0" w:right="0"/>
              <w:jc w:val="right"/>
              <w:rPr/>
            </w:pPr>
            <w:r>
              <w:rPr/>
              <w:t>4.13</w:t>
            </w:r>
          </w:p>
        </w:tc>
        <w:tc>
          <w:tcPr>
            <w:tcW w:w="841" w:type="dxa"/>
            <w:tcBorders/>
            <w:vAlign w:val="center"/>
          </w:tcPr>
          <w:p>
            <w:pPr>
              <w:pStyle w:val="TableContents"/>
              <w:bidi w:val="0"/>
              <w:spacing w:before="0" w:after="283"/>
              <w:ind w:hanging="0" w:left="0" w:right="0"/>
              <w:jc w:val="right"/>
              <w:rPr/>
            </w:pPr>
            <w:r>
              <w:rPr/>
              <w:t>4.21</w:t>
            </w:r>
          </w:p>
        </w:tc>
        <w:tc>
          <w:tcPr>
            <w:tcW w:w="496" w:type="dxa"/>
            <w:tcBorders/>
            <w:vAlign w:val="center"/>
          </w:tcPr>
          <w:p>
            <w:pPr>
              <w:pStyle w:val="TableContents"/>
              <w:bidi w:val="0"/>
              <w:spacing w:before="0" w:after="283"/>
              <w:ind w:hanging="0" w:left="0" w:right="0"/>
              <w:jc w:val="right"/>
              <w:rPr/>
            </w:pPr>
            <w:r>
              <w:rPr/>
              <w:t>0.29</w:t>
            </w:r>
          </w:p>
        </w:tc>
        <w:tc>
          <w:tcPr>
            <w:tcW w:w="691" w:type="dxa"/>
            <w:tcBorders/>
            <w:vAlign w:val="center"/>
          </w:tcPr>
          <w:p>
            <w:pPr>
              <w:pStyle w:val="TableContents"/>
              <w:bidi w:val="0"/>
              <w:spacing w:before="0" w:after="283"/>
              <w:ind w:hanging="0" w:left="0" w:right="0"/>
              <w:jc w:val="right"/>
              <w:rPr/>
            </w:pPr>
            <w:r>
              <w:rPr/>
              <w:t>5.2</w:t>
            </w:r>
          </w:p>
        </w:tc>
        <w:tc>
          <w:tcPr>
            <w:tcW w:w="676" w:type="dxa"/>
            <w:tcBorders/>
            <w:vAlign w:val="center"/>
          </w:tcPr>
          <w:p>
            <w:pPr>
              <w:pStyle w:val="TableContents"/>
              <w:bidi w:val="0"/>
              <w:spacing w:before="0" w:after="283"/>
              <w:ind w:hanging="0" w:left="0" w:right="0"/>
              <w:jc w:val="right"/>
              <w:rPr/>
            </w:pPr>
            <w:r>
              <w:rPr/>
              <w:t>103 MB</w:t>
            </w:r>
          </w:p>
        </w:tc>
        <w:tc>
          <w:tcPr>
            <w:tcW w:w="586" w:type="dxa"/>
            <w:tcBorders/>
            <w:vAlign w:val="center"/>
          </w:tcPr>
          <w:p>
            <w:pPr>
              <w:pStyle w:val="TableContents"/>
              <w:bidi w:val="0"/>
              <w:spacing w:before="0" w:after="283"/>
              <w:ind w:hanging="0" w:left="0" w:right="0"/>
              <w:jc w:val="right"/>
              <w:rPr/>
            </w:pPr>
            <w:r>
              <w:rPr/>
              <w:t>431 MB/s</w:t>
            </w:r>
          </w:p>
        </w:tc>
        <w:tc>
          <w:tcPr>
            <w:tcW w:w="1216" w:type="dxa"/>
            <w:tcBorders/>
            <w:vAlign w:val="center"/>
          </w:tcPr>
          <w:p>
            <w:pPr>
              <w:pStyle w:val="TableContents"/>
              <w:bidi w:val="0"/>
              <w:spacing w:before="0" w:after="283"/>
              <w:ind w:hanging="0" w:left="0" w:right="0"/>
              <w:jc w:val="right"/>
              <w:rPr/>
            </w:pPr>
            <w:r>
              <w:rPr/>
              <w:t>59 %</w:t>
            </w:r>
          </w:p>
        </w:tc>
        <w:tc>
          <w:tcPr>
            <w:tcW w:w="1096" w:type="dxa"/>
            <w:tcBorders/>
            <w:vAlign w:val="center"/>
          </w:tcPr>
          <w:p>
            <w:pPr>
              <w:pStyle w:val="TableContents"/>
              <w:bidi w:val="0"/>
              <w:spacing w:before="0" w:after="283"/>
              <w:ind w:hanging="0" w:left="0" w:right="0"/>
              <w:jc w:val="right"/>
              <w:rPr/>
            </w:pPr>
            <w:r>
              <w:rPr/>
              <w:t>42 %</w:t>
            </w:r>
          </w:p>
        </w:tc>
      </w:tr>
      <w:tr>
        <w:trPr/>
        <w:tc>
          <w:tcPr>
            <w:tcW w:w="1621" w:type="dxa"/>
            <w:tcBorders/>
            <w:vAlign w:val="center"/>
          </w:tcPr>
          <w:p>
            <w:pPr>
              <w:pStyle w:val="TableContents"/>
              <w:bidi w:val="0"/>
              <w:spacing w:before="0" w:after="283"/>
              <w:ind w:hanging="0" w:left="0" w:right="0"/>
              <w:jc w:val="left"/>
              <w:rPr/>
            </w:pPr>
            <w:r>
              <w:rPr/>
              <w:t>SmolLM2</w:t>
              <w:noBreakHyphen/>
              <w:t>135M Q8</w:t>
            </w:r>
          </w:p>
        </w:tc>
        <w:tc>
          <w:tcPr>
            <w:tcW w:w="646" w:type="dxa"/>
            <w:tcBorders/>
            <w:vAlign w:val="center"/>
          </w:tcPr>
          <w:p>
            <w:pPr>
              <w:pStyle w:val="TableContents"/>
              <w:bidi w:val="0"/>
              <w:spacing w:before="0" w:after="283"/>
              <w:ind w:hanging="0" w:left="0" w:right="0"/>
              <w:jc w:val="right"/>
              <w:rPr/>
            </w:pPr>
            <w:r>
              <w:rPr/>
              <w:t>3.34</w:t>
            </w:r>
          </w:p>
        </w:tc>
        <w:tc>
          <w:tcPr>
            <w:tcW w:w="841" w:type="dxa"/>
            <w:tcBorders/>
            <w:vAlign w:val="center"/>
          </w:tcPr>
          <w:p>
            <w:pPr>
              <w:pStyle w:val="TableContents"/>
              <w:bidi w:val="0"/>
              <w:spacing w:before="0" w:after="283"/>
              <w:ind w:hanging="0" w:left="0" w:right="0"/>
              <w:jc w:val="right"/>
              <w:rPr/>
            </w:pPr>
            <w:r>
              <w:rPr/>
              <w:t>3.38</w:t>
            </w:r>
          </w:p>
        </w:tc>
        <w:tc>
          <w:tcPr>
            <w:tcW w:w="496" w:type="dxa"/>
            <w:tcBorders/>
            <w:vAlign w:val="center"/>
          </w:tcPr>
          <w:p>
            <w:pPr>
              <w:pStyle w:val="TableContents"/>
              <w:bidi w:val="0"/>
              <w:spacing w:before="0" w:after="283"/>
              <w:ind w:hanging="0" w:left="0" w:right="0"/>
              <w:jc w:val="right"/>
              <w:rPr/>
            </w:pPr>
            <w:r>
              <w:rPr/>
              <w:t>0.16</w:t>
            </w:r>
          </w:p>
        </w:tc>
        <w:tc>
          <w:tcPr>
            <w:tcW w:w="691" w:type="dxa"/>
            <w:tcBorders/>
            <w:vAlign w:val="center"/>
          </w:tcPr>
          <w:p>
            <w:pPr>
              <w:pStyle w:val="TableContents"/>
              <w:bidi w:val="0"/>
              <w:spacing w:before="0" w:after="283"/>
              <w:ind w:hanging="0" w:left="0" w:right="0"/>
              <w:jc w:val="right"/>
              <w:rPr/>
            </w:pPr>
            <w:r>
              <w:rPr/>
              <w:t>6.7</w:t>
            </w:r>
          </w:p>
        </w:tc>
        <w:tc>
          <w:tcPr>
            <w:tcW w:w="676" w:type="dxa"/>
            <w:tcBorders/>
            <w:vAlign w:val="center"/>
          </w:tcPr>
          <w:p>
            <w:pPr>
              <w:pStyle w:val="TableContents"/>
              <w:bidi w:val="0"/>
              <w:spacing w:before="0" w:after="283"/>
              <w:ind w:hanging="0" w:left="0" w:right="0"/>
              <w:jc w:val="right"/>
              <w:rPr/>
            </w:pPr>
            <w:r>
              <w:rPr/>
              <w:t>156 MB</w:t>
            </w:r>
          </w:p>
        </w:tc>
        <w:tc>
          <w:tcPr>
            <w:tcW w:w="586" w:type="dxa"/>
            <w:tcBorders/>
            <w:vAlign w:val="center"/>
          </w:tcPr>
          <w:p>
            <w:pPr>
              <w:pStyle w:val="TableContents"/>
              <w:bidi w:val="0"/>
              <w:spacing w:before="0" w:after="283"/>
              <w:ind w:hanging="0" w:left="0" w:right="0"/>
              <w:jc w:val="right"/>
              <w:rPr/>
            </w:pPr>
            <w:r>
              <w:rPr/>
              <w:t>526 MB/s</w:t>
            </w:r>
          </w:p>
        </w:tc>
        <w:tc>
          <w:tcPr>
            <w:tcW w:w="1216" w:type="dxa"/>
            <w:tcBorders/>
            <w:vAlign w:val="center"/>
          </w:tcPr>
          <w:p>
            <w:pPr>
              <w:pStyle w:val="TableContents"/>
              <w:bidi w:val="0"/>
              <w:spacing w:before="0" w:after="283"/>
              <w:ind w:hanging="0" w:left="0" w:right="0"/>
              <w:jc w:val="right"/>
              <w:rPr/>
            </w:pPr>
            <w:r>
              <w:rPr/>
              <w:t>71 %</w:t>
            </w:r>
          </w:p>
        </w:tc>
        <w:tc>
          <w:tcPr>
            <w:tcW w:w="1096" w:type="dxa"/>
            <w:tcBorders/>
            <w:vAlign w:val="center"/>
          </w:tcPr>
          <w:p>
            <w:pPr>
              <w:pStyle w:val="TableContents"/>
              <w:bidi w:val="0"/>
              <w:spacing w:before="0" w:after="283"/>
              <w:ind w:hanging="0" w:left="0" w:right="0"/>
              <w:jc w:val="right"/>
              <w:rPr/>
            </w:pPr>
            <w:r>
              <w:rPr/>
              <w:t>30 %</w:t>
            </w:r>
          </w:p>
        </w:tc>
      </w:tr>
      <w:tr>
        <w:trPr/>
        <w:tc>
          <w:tcPr>
            <w:tcW w:w="1621" w:type="dxa"/>
            <w:tcBorders/>
            <w:vAlign w:val="center"/>
          </w:tcPr>
          <w:p>
            <w:pPr>
              <w:pStyle w:val="TableContents"/>
              <w:bidi w:val="0"/>
              <w:spacing w:before="0" w:after="283"/>
              <w:ind w:hanging="0" w:left="0" w:right="0"/>
              <w:jc w:val="left"/>
              <w:rPr/>
            </w:pPr>
            <w:r>
              <w:rPr/>
              <w:t>SmolLM2</w:t>
              <w:noBreakHyphen/>
              <w:t>360M Q4</w:t>
            </w:r>
          </w:p>
        </w:tc>
        <w:tc>
          <w:tcPr>
            <w:tcW w:w="646" w:type="dxa"/>
            <w:tcBorders/>
            <w:vAlign w:val="center"/>
          </w:tcPr>
          <w:p>
            <w:pPr>
              <w:pStyle w:val="TableContents"/>
              <w:bidi w:val="0"/>
              <w:spacing w:before="0" w:after="283"/>
              <w:ind w:hanging="0" w:left="0" w:right="0"/>
              <w:jc w:val="right"/>
              <w:rPr/>
            </w:pPr>
            <w:r>
              <w:rPr/>
              <w:t>1.90</w:t>
            </w:r>
          </w:p>
        </w:tc>
        <w:tc>
          <w:tcPr>
            <w:tcW w:w="841" w:type="dxa"/>
            <w:tcBorders/>
            <w:vAlign w:val="center"/>
          </w:tcPr>
          <w:p>
            <w:pPr>
              <w:pStyle w:val="TableContents"/>
              <w:bidi w:val="0"/>
              <w:spacing w:before="0" w:after="283"/>
              <w:ind w:hanging="0" w:left="0" w:right="0"/>
              <w:jc w:val="right"/>
              <w:rPr/>
            </w:pPr>
            <w:r>
              <w:rPr/>
              <w:t>1.89</w:t>
            </w:r>
          </w:p>
        </w:tc>
        <w:tc>
          <w:tcPr>
            <w:tcW w:w="496" w:type="dxa"/>
            <w:tcBorders/>
            <w:vAlign w:val="center"/>
          </w:tcPr>
          <w:p>
            <w:pPr>
              <w:pStyle w:val="TableContents"/>
              <w:bidi w:val="0"/>
              <w:spacing w:before="0" w:after="283"/>
              <w:ind w:hanging="0" w:left="0" w:right="0"/>
              <w:jc w:val="right"/>
              <w:rPr/>
            </w:pPr>
            <w:r>
              <w:rPr/>
              <w:t>0.04</w:t>
            </w:r>
          </w:p>
        </w:tc>
        <w:tc>
          <w:tcPr>
            <w:tcW w:w="691" w:type="dxa"/>
            <w:tcBorders/>
            <w:vAlign w:val="center"/>
          </w:tcPr>
          <w:p>
            <w:pPr>
              <w:pStyle w:val="TableContents"/>
              <w:bidi w:val="0"/>
              <w:spacing w:before="0" w:after="283"/>
              <w:ind w:hanging="0" w:left="0" w:right="0"/>
              <w:jc w:val="right"/>
              <w:rPr/>
            </w:pPr>
            <w:r>
              <w:rPr/>
              <w:t>12.0</w:t>
            </w:r>
          </w:p>
        </w:tc>
        <w:tc>
          <w:tcPr>
            <w:tcW w:w="676" w:type="dxa"/>
            <w:tcBorders/>
            <w:vAlign w:val="center"/>
          </w:tcPr>
          <w:p>
            <w:pPr>
              <w:pStyle w:val="TableContents"/>
              <w:bidi w:val="0"/>
              <w:spacing w:before="0" w:after="283"/>
              <w:ind w:hanging="0" w:left="0" w:right="0"/>
              <w:jc w:val="right"/>
              <w:rPr/>
            </w:pPr>
            <w:r>
              <w:rPr/>
              <w:t>248 MB</w:t>
            </w:r>
          </w:p>
        </w:tc>
        <w:tc>
          <w:tcPr>
            <w:tcW w:w="586" w:type="dxa"/>
            <w:tcBorders/>
            <w:vAlign w:val="center"/>
          </w:tcPr>
          <w:p>
            <w:pPr>
              <w:pStyle w:val="TableContents"/>
              <w:bidi w:val="0"/>
              <w:spacing w:before="0" w:after="283"/>
              <w:ind w:hanging="0" w:left="0" w:right="0"/>
              <w:jc w:val="right"/>
              <w:rPr/>
            </w:pPr>
            <w:r>
              <w:rPr/>
              <w:t>478 MB/s</w:t>
            </w:r>
          </w:p>
        </w:tc>
        <w:tc>
          <w:tcPr>
            <w:tcW w:w="1216" w:type="dxa"/>
            <w:tcBorders/>
            <w:vAlign w:val="center"/>
          </w:tcPr>
          <w:p>
            <w:pPr>
              <w:pStyle w:val="TableContents"/>
              <w:bidi w:val="0"/>
              <w:spacing w:before="0" w:after="283"/>
              <w:ind w:hanging="0" w:left="0" w:right="0"/>
              <w:jc w:val="right"/>
              <w:rPr/>
            </w:pPr>
            <w:r>
              <w:rPr/>
              <w:t>65 %</w:t>
            </w:r>
          </w:p>
        </w:tc>
        <w:tc>
          <w:tcPr>
            <w:tcW w:w="1096" w:type="dxa"/>
            <w:tcBorders/>
            <w:vAlign w:val="center"/>
          </w:tcPr>
          <w:p>
            <w:pPr>
              <w:pStyle w:val="TableContents"/>
              <w:bidi w:val="0"/>
              <w:spacing w:before="0" w:after="283"/>
              <w:jc w:val="right"/>
              <w:rPr/>
            </w:pPr>
            <w:r>
              <w:rPr/>
              <w:t>36 %</w:t>
            </w:r>
          </w:p>
        </w:tc>
      </w:tr>
    </w:tbl>
    <w:p>
      <w:pPr>
        <w:pStyle w:val="BodyText"/>
        <w:bidi w:val="0"/>
        <w:rPr/>
      </w:pPr>
      <w:r>
        <w:rPr/>
        <w:t>The Q4 baseline is the fastest configuration; the Q8 variant of the same model is slower despite performing identical arithmetic; and the larger 360M model is the slowest. The standard deviation decreases markedly with model size (0.29 → 0.04 tok/s), indicating that the larger, more strongly memory</w:t>
        <w:noBreakHyphen/>
        <w:t>limited workload exhibits near</w:t>
        <w:noBreakHyphen/>
        <w:t>deterministic run times.</w:t>
      </w:r>
    </w:p>
    <w:p>
      <w:pPr>
        <w:pStyle w:val="Heading2"/>
        <w:bidi w:val="0"/>
        <w:jc w:val="left"/>
        <w:rPr/>
      </w:pPr>
      <w:r>
        <w:rPr/>
        <w:t>6.4 The Memory</w:t>
        <w:noBreakHyphen/>
        <w:t>Bound Analysis</w:t>
      </w:r>
    </w:p>
    <w:p>
      <w:pPr>
        <w:pStyle w:val="BodyText"/>
        <w:bidi w:val="0"/>
        <w:rPr/>
      </w:pPr>
      <w:r>
        <w:rPr/>
        <w:t>The hypothesis that throughput is limited by memory bandwidth rather than computation is supported by two independent experiments.</w:t>
      </w:r>
    </w:p>
    <w:p>
      <w:pPr>
        <w:pStyle w:val="BodyText"/>
        <w:bidi w:val="0"/>
        <w:rPr/>
      </w:pPr>
      <w:r>
        <w:rPr>
          <w:rStyle w:val="Strong"/>
        </w:rPr>
        <w:t>Experiment A — fixed network, varied weight width (Q4 vs Q8).</w:t>
      </w:r>
      <w:r>
        <w:rPr/>
        <w:t xml:space="preserve"> These configurations implement an identical network and perform identical arithmetic per token; only the weight width differs, with Q8 transferring approximately 1.5× the bytes. The observed slowdown is 1.24×. A compute</w:t>
        <w:noBreakHyphen/>
        <w:t>limited design would exhibit equal throughput; the observed dependence on data volume indicates a memory limit.</w:t>
      </w:r>
    </w:p>
    <w:p>
      <w:pPr>
        <w:pStyle w:val="BodyText"/>
        <w:bidi w:val="0"/>
        <w:rPr/>
      </w:pPr>
      <w:r>
        <w:rPr>
          <w:rStyle w:val="Strong"/>
        </w:rPr>
        <w:t>Experiment B — fixed weight width, varied network size (135M vs 360M, both Q4).</w:t>
      </w:r>
      <w:r>
        <w:rPr/>
        <w:t xml:space="preserve"> The 360M model transfers 2.4× the bytes per token and runs at 0.46× the throughput; throughput falls in near</w:t>
        <w:noBreakHyphen/>
        <w:t xml:space="preserve"> proportion to data volume.</w:t>
      </w:r>
    </w:p>
    <w:p>
      <w:pPr>
        <w:pStyle w:val="BodyText"/>
        <w:bidi w:val="0"/>
        <w:rPr/>
      </w:pPr>
      <w:r>
        <w:rPr/>
        <w:t>The two experiments are reconciled by the effective</w:t>
        <w:noBreakHyphen/>
        <w:t>bandwidth diagnostic in Table 6.3: the product of throughput and bytes</w:t>
        <w:noBreakHyphen/>
        <w:t>per</w:t>
        <w:noBreakHyphen/>
        <w:t>token is approximately constant across three very different models, indicating that all three operate against a common memory ceiling.</w:t>
      </w:r>
    </w:p>
    <w:p>
      <w:pPr>
        <w:pStyle w:val="BodyText"/>
        <w:bidi w:val="0"/>
        <w:rPr/>
      </w:pPr>
      <w:r>
        <w:rPr>
          <w:rStyle w:val="Strong"/>
        </w:rPr>
        <w:t>Table 6.3 — Effective bandwidth (memory</w:t>
        <w:noBreakHyphen/>
        <w:t>bound evidence).</w:t>
      </w:r>
    </w:p>
    <w:tbl>
      <w:tblPr>
        <w:tblW w:w="6484" w:type="dxa"/>
        <w:jc w:val="left"/>
        <w:tblInd w:w="0" w:type="dxa"/>
        <w:tblLayout w:type="fixed"/>
        <w:tblCellMar>
          <w:top w:w="28" w:type="dxa"/>
          <w:left w:w="28" w:type="dxa"/>
          <w:bottom w:w="28" w:type="dxa"/>
          <w:right w:w="28" w:type="dxa"/>
        </w:tblCellMar>
      </w:tblPr>
      <w:tblGrid>
        <w:gridCol w:w="1936"/>
        <w:gridCol w:w="1201"/>
        <w:gridCol w:w="1276"/>
        <w:gridCol w:w="2071"/>
      </w:tblGrid>
      <w:tr>
        <w:trPr>
          <w:tblHeader w:val="true"/>
        </w:trPr>
        <w:tc>
          <w:tcPr>
            <w:tcW w:w="1936" w:type="dxa"/>
            <w:tcBorders/>
            <w:vAlign w:val="center"/>
          </w:tcPr>
          <w:p>
            <w:pPr>
              <w:pStyle w:val="TableHeading"/>
              <w:bidi w:val="0"/>
              <w:spacing w:before="0" w:after="283"/>
              <w:ind w:hanging="0" w:left="0" w:right="0"/>
              <w:jc w:val="left"/>
              <w:rPr/>
            </w:pPr>
            <w:r>
              <w:rPr/>
              <w:t>Configuration</w:t>
            </w:r>
          </w:p>
        </w:tc>
        <w:tc>
          <w:tcPr>
            <w:tcW w:w="1201" w:type="dxa"/>
            <w:tcBorders/>
            <w:vAlign w:val="center"/>
          </w:tcPr>
          <w:p>
            <w:pPr>
              <w:pStyle w:val="TableHeading"/>
              <w:bidi w:val="0"/>
              <w:spacing w:before="0" w:after="283"/>
              <w:ind w:hanging="0" w:left="0" w:right="0"/>
              <w:jc w:val="right"/>
              <w:rPr/>
            </w:pPr>
            <w:r>
              <w:rPr/>
              <w:t>Bytes/token</w:t>
            </w:r>
          </w:p>
        </w:tc>
        <w:tc>
          <w:tcPr>
            <w:tcW w:w="1276" w:type="dxa"/>
            <w:tcBorders/>
            <w:vAlign w:val="center"/>
          </w:tcPr>
          <w:p>
            <w:pPr>
              <w:pStyle w:val="TableHeading"/>
              <w:bidi w:val="0"/>
              <w:spacing w:before="0" w:after="283"/>
              <w:ind w:hanging="0" w:left="0" w:right="0"/>
              <w:jc w:val="right"/>
              <w:rPr/>
            </w:pPr>
            <w:r>
              <w:rPr/>
              <w:t>Throughput</w:t>
            </w:r>
          </w:p>
        </w:tc>
        <w:tc>
          <w:tcPr>
            <w:tcW w:w="2071" w:type="dxa"/>
            <w:tcBorders/>
            <w:vAlign w:val="center"/>
          </w:tcPr>
          <w:p>
            <w:pPr>
              <w:pStyle w:val="TableHeading"/>
              <w:bidi w:val="0"/>
              <w:spacing w:before="0" w:after="283"/>
              <w:ind w:hanging="0" w:left="0" w:right="0"/>
              <w:jc w:val="right"/>
              <w:rPr/>
            </w:pPr>
            <w:r>
              <w:rPr/>
              <w:t>Effective bandwidth</w:t>
            </w:r>
          </w:p>
        </w:tc>
      </w:tr>
      <w:tr>
        <w:trPr/>
        <w:tc>
          <w:tcPr>
            <w:tcW w:w="1936" w:type="dxa"/>
            <w:tcBorders/>
            <w:vAlign w:val="center"/>
          </w:tcPr>
          <w:p>
            <w:pPr>
              <w:pStyle w:val="TableContents"/>
              <w:bidi w:val="0"/>
              <w:spacing w:before="0" w:after="283"/>
              <w:ind w:hanging="0" w:left="0" w:right="0"/>
              <w:jc w:val="left"/>
              <w:rPr/>
            </w:pPr>
            <w:r>
              <w:rPr/>
              <w:t>SmolLM2</w:t>
              <w:noBreakHyphen/>
              <w:t>135M Q4</w:t>
            </w:r>
          </w:p>
        </w:tc>
        <w:tc>
          <w:tcPr>
            <w:tcW w:w="1201" w:type="dxa"/>
            <w:tcBorders/>
            <w:vAlign w:val="center"/>
          </w:tcPr>
          <w:p>
            <w:pPr>
              <w:pStyle w:val="TableContents"/>
              <w:bidi w:val="0"/>
              <w:spacing w:before="0" w:after="283"/>
              <w:ind w:hanging="0" w:left="0" w:right="0"/>
              <w:jc w:val="right"/>
              <w:rPr/>
            </w:pPr>
            <w:r>
              <w:rPr/>
              <w:t>103 MB</w:t>
            </w:r>
          </w:p>
        </w:tc>
        <w:tc>
          <w:tcPr>
            <w:tcW w:w="1276" w:type="dxa"/>
            <w:tcBorders/>
            <w:vAlign w:val="center"/>
          </w:tcPr>
          <w:p>
            <w:pPr>
              <w:pStyle w:val="TableContents"/>
              <w:bidi w:val="0"/>
              <w:spacing w:before="0" w:after="283"/>
              <w:ind w:hanging="0" w:left="0" w:right="0"/>
              <w:jc w:val="right"/>
              <w:rPr/>
            </w:pPr>
            <w:r>
              <w:rPr/>
              <w:t>4.13 tok/s</w:t>
            </w:r>
          </w:p>
        </w:tc>
        <w:tc>
          <w:tcPr>
            <w:tcW w:w="2071" w:type="dxa"/>
            <w:tcBorders/>
            <w:vAlign w:val="center"/>
          </w:tcPr>
          <w:p>
            <w:pPr>
              <w:pStyle w:val="TableContents"/>
              <w:bidi w:val="0"/>
              <w:spacing w:before="0" w:after="283"/>
              <w:ind w:hanging="0" w:left="0" w:right="0"/>
              <w:jc w:val="right"/>
              <w:rPr/>
            </w:pPr>
            <w:r>
              <w:rPr/>
              <w:t>426 MB/s</w:t>
            </w:r>
          </w:p>
        </w:tc>
      </w:tr>
      <w:tr>
        <w:trPr/>
        <w:tc>
          <w:tcPr>
            <w:tcW w:w="1936" w:type="dxa"/>
            <w:tcBorders/>
            <w:vAlign w:val="center"/>
          </w:tcPr>
          <w:p>
            <w:pPr>
              <w:pStyle w:val="TableContents"/>
              <w:bidi w:val="0"/>
              <w:spacing w:before="0" w:after="283"/>
              <w:ind w:hanging="0" w:left="0" w:right="0"/>
              <w:jc w:val="left"/>
              <w:rPr/>
            </w:pPr>
            <w:r>
              <w:rPr/>
              <w:t>SmolLM2</w:t>
              <w:noBreakHyphen/>
              <w:t>135M Q8</w:t>
            </w:r>
          </w:p>
        </w:tc>
        <w:tc>
          <w:tcPr>
            <w:tcW w:w="1201" w:type="dxa"/>
            <w:tcBorders/>
            <w:vAlign w:val="center"/>
          </w:tcPr>
          <w:p>
            <w:pPr>
              <w:pStyle w:val="TableContents"/>
              <w:bidi w:val="0"/>
              <w:spacing w:before="0" w:after="283"/>
              <w:ind w:hanging="0" w:left="0" w:right="0"/>
              <w:jc w:val="right"/>
              <w:rPr/>
            </w:pPr>
            <w:r>
              <w:rPr/>
              <w:t>156 MB</w:t>
            </w:r>
          </w:p>
        </w:tc>
        <w:tc>
          <w:tcPr>
            <w:tcW w:w="1276" w:type="dxa"/>
            <w:tcBorders/>
            <w:vAlign w:val="center"/>
          </w:tcPr>
          <w:p>
            <w:pPr>
              <w:pStyle w:val="TableContents"/>
              <w:bidi w:val="0"/>
              <w:spacing w:before="0" w:after="283"/>
              <w:ind w:hanging="0" w:left="0" w:right="0"/>
              <w:jc w:val="right"/>
              <w:rPr/>
            </w:pPr>
            <w:r>
              <w:rPr/>
              <w:t>3.34 tok/s</w:t>
            </w:r>
          </w:p>
        </w:tc>
        <w:tc>
          <w:tcPr>
            <w:tcW w:w="2071" w:type="dxa"/>
            <w:tcBorders/>
            <w:vAlign w:val="center"/>
          </w:tcPr>
          <w:p>
            <w:pPr>
              <w:pStyle w:val="TableContents"/>
              <w:bidi w:val="0"/>
              <w:spacing w:before="0" w:after="283"/>
              <w:ind w:hanging="0" w:left="0" w:right="0"/>
              <w:jc w:val="right"/>
              <w:rPr/>
            </w:pPr>
            <w:r>
              <w:rPr/>
              <w:t>520 MB/s</w:t>
            </w:r>
          </w:p>
        </w:tc>
      </w:tr>
      <w:tr>
        <w:trPr/>
        <w:tc>
          <w:tcPr>
            <w:tcW w:w="1936" w:type="dxa"/>
            <w:tcBorders/>
            <w:vAlign w:val="center"/>
          </w:tcPr>
          <w:p>
            <w:pPr>
              <w:pStyle w:val="TableContents"/>
              <w:bidi w:val="0"/>
              <w:spacing w:before="0" w:after="283"/>
              <w:ind w:hanging="0" w:left="0" w:right="0"/>
              <w:jc w:val="left"/>
              <w:rPr/>
            </w:pPr>
            <w:r>
              <w:rPr/>
              <w:t>SmolLM2</w:t>
              <w:noBreakHyphen/>
              <w:t>360M Q4</w:t>
            </w:r>
          </w:p>
        </w:tc>
        <w:tc>
          <w:tcPr>
            <w:tcW w:w="1201" w:type="dxa"/>
            <w:tcBorders/>
            <w:vAlign w:val="center"/>
          </w:tcPr>
          <w:p>
            <w:pPr>
              <w:pStyle w:val="TableContents"/>
              <w:bidi w:val="0"/>
              <w:spacing w:before="0" w:after="283"/>
              <w:ind w:hanging="0" w:left="0" w:right="0"/>
              <w:jc w:val="right"/>
              <w:rPr/>
            </w:pPr>
            <w:r>
              <w:rPr/>
              <w:t>248 MB</w:t>
            </w:r>
          </w:p>
        </w:tc>
        <w:tc>
          <w:tcPr>
            <w:tcW w:w="1276" w:type="dxa"/>
            <w:tcBorders/>
            <w:vAlign w:val="center"/>
          </w:tcPr>
          <w:p>
            <w:pPr>
              <w:pStyle w:val="TableContents"/>
              <w:bidi w:val="0"/>
              <w:spacing w:before="0" w:after="283"/>
              <w:ind w:hanging="0" w:left="0" w:right="0"/>
              <w:jc w:val="right"/>
              <w:rPr/>
            </w:pPr>
            <w:r>
              <w:rPr/>
              <w:t>1.90 tok/s</w:t>
            </w:r>
          </w:p>
        </w:tc>
        <w:tc>
          <w:tcPr>
            <w:tcW w:w="2071" w:type="dxa"/>
            <w:tcBorders/>
            <w:vAlign w:val="center"/>
          </w:tcPr>
          <w:p>
            <w:pPr>
              <w:pStyle w:val="TableContents"/>
              <w:bidi w:val="0"/>
              <w:spacing w:before="0" w:after="283"/>
              <w:jc w:val="right"/>
              <w:rPr/>
            </w:pPr>
            <w:r>
              <w:rPr/>
              <w:t>472 MB/s</w:t>
            </w:r>
          </w:p>
        </w:tc>
      </w:tr>
    </w:tbl>
    <w:p>
      <w:pPr>
        <w:pStyle w:val="BodyText"/>
        <w:bidi w:val="0"/>
        <w:rPr/>
      </w:pPr>
      <w:r>
        <w:rPr/>
        <w:t>The effective bandwidth is not perfectly constant: the wider, more regular INT8 reads stall less (30 %) than the INT4 four</w:t>
        <w:noBreakHyphen/>
        <w:t>bit unpacking (42 %), so the Q8 configuration sustains a higher raw bandwidth. The central conclusion is nonetheless robust: throughput tracks data volume, not arithmetic. Furthermore, the sustained 430–520 MB/s is only 57–71 % of the 64</w:t>
        <w:noBreakHyphen/>
        <w:t>bit memory port's own ceiling at 93.75 MHz (≈ 750 MB/s) and roughly one</w:t>
        <w:noBreakHyphen/>
        <w:t>tenth of the DDR3 devices' raw capability, indicating that the limiting element is the on</w:t>
        <w:noBreakHyphen/>
        <w:t xml:space="preserve">chip memory </w:t>
      </w:r>
      <w:r>
        <w:rPr>
          <w:rStyle w:val="Emphasis"/>
        </w:rPr>
        <w:t>path</w:t>
      </w:r>
      <w:r>
        <w:rPr/>
        <w:t>, not the DRAM — a finding that directly informs Chapter 7.</w:t>
      </w:r>
    </w:p>
    <w:p>
      <w:pPr>
        <w:pStyle w:val="Heading2"/>
        <w:bidi w:val="0"/>
        <w:jc w:val="left"/>
        <w:rPr/>
      </w:pPr>
      <w:r>
        <w:rPr/>
        <w:t>6.5 Output</w:t>
        <w:noBreakHyphen/>
        <w:t>Quality Assessment</w:t>
      </w:r>
    </w:p>
    <w:p>
      <w:pPr>
        <w:pStyle w:val="BodyText"/>
        <w:bidi w:val="0"/>
        <w:rPr/>
      </w:pPr>
      <w:r>
        <w:rPr/>
        <w:t>The 30 responses of each configuration were graded against ground truth on a three</w:t>
        <w:noBreakHyphen/>
        <w:t>point scale (2 = correct, 1 = partial, 0 = incorrect; maximum 60). Results are given in Table 6.4.</w:t>
      </w:r>
    </w:p>
    <w:p>
      <w:pPr>
        <w:pStyle w:val="BodyText"/>
        <w:bidi w:val="0"/>
        <w:rPr/>
      </w:pPr>
      <w:r>
        <w:rPr>
          <w:rStyle w:val="Strong"/>
        </w:rPr>
        <w:t>Table 6.4 — Output</w:t>
        <w:noBreakHyphen/>
        <w:t>quality scores (max 60).</w:t>
      </w:r>
    </w:p>
    <w:tbl>
      <w:tblPr>
        <w:tblW w:w="7869" w:type="dxa"/>
        <w:jc w:val="left"/>
        <w:tblInd w:w="0" w:type="dxa"/>
        <w:tblLayout w:type="fixed"/>
        <w:tblCellMar>
          <w:top w:w="28" w:type="dxa"/>
          <w:left w:w="28" w:type="dxa"/>
          <w:bottom w:w="28" w:type="dxa"/>
          <w:right w:w="28" w:type="dxa"/>
        </w:tblCellMar>
      </w:tblPr>
      <w:tblGrid>
        <w:gridCol w:w="1853"/>
        <w:gridCol w:w="631"/>
        <w:gridCol w:w="5385"/>
      </w:tblGrid>
      <w:tr>
        <w:trPr>
          <w:tblHeader w:val="true"/>
        </w:trPr>
        <w:tc>
          <w:tcPr>
            <w:tcW w:w="1853" w:type="dxa"/>
            <w:tcBorders/>
            <w:vAlign w:val="center"/>
          </w:tcPr>
          <w:p>
            <w:pPr>
              <w:pStyle w:val="TableHeading"/>
              <w:bidi w:val="0"/>
              <w:spacing w:before="0" w:after="283"/>
              <w:ind w:hanging="0" w:left="0" w:right="0"/>
              <w:jc w:val="left"/>
              <w:rPr/>
            </w:pPr>
            <w:r>
              <w:rPr/>
              <w:t>Configuration</w:t>
            </w:r>
          </w:p>
        </w:tc>
        <w:tc>
          <w:tcPr>
            <w:tcW w:w="631" w:type="dxa"/>
            <w:tcBorders/>
            <w:vAlign w:val="center"/>
          </w:tcPr>
          <w:p>
            <w:pPr>
              <w:pStyle w:val="TableHeading"/>
              <w:bidi w:val="0"/>
              <w:spacing w:before="0" w:after="283"/>
              <w:ind w:hanging="0" w:left="0" w:right="0"/>
              <w:jc w:val="right"/>
              <w:rPr/>
            </w:pPr>
            <w:r>
              <w:rPr/>
              <w:t>Score</w:t>
            </w:r>
          </w:p>
        </w:tc>
        <w:tc>
          <w:tcPr>
            <w:tcW w:w="5385" w:type="dxa"/>
            <w:tcBorders/>
            <w:vAlign w:val="center"/>
          </w:tcPr>
          <w:p>
            <w:pPr>
              <w:pStyle w:val="TableHeading"/>
              <w:bidi w:val="0"/>
              <w:spacing w:before="0" w:after="283"/>
              <w:ind w:hanging="0" w:left="0" w:right="0"/>
              <w:jc w:val="left"/>
              <w:rPr/>
            </w:pPr>
            <w:r>
              <w:rPr/>
              <w:t>Observation</w:t>
            </w:r>
          </w:p>
        </w:tc>
      </w:tr>
      <w:tr>
        <w:trPr/>
        <w:tc>
          <w:tcPr>
            <w:tcW w:w="1853" w:type="dxa"/>
            <w:tcBorders/>
            <w:vAlign w:val="center"/>
          </w:tcPr>
          <w:p>
            <w:pPr>
              <w:pStyle w:val="TableContents"/>
              <w:bidi w:val="0"/>
              <w:spacing w:before="0" w:after="283"/>
              <w:ind w:hanging="0" w:left="0" w:right="0"/>
              <w:jc w:val="left"/>
              <w:rPr/>
            </w:pPr>
            <w:r>
              <w:rPr/>
              <w:t>SmolLM2</w:t>
              <w:noBreakHyphen/>
              <w:t>135M Q4</w:t>
            </w:r>
          </w:p>
        </w:tc>
        <w:tc>
          <w:tcPr>
            <w:tcW w:w="631" w:type="dxa"/>
            <w:tcBorders/>
            <w:vAlign w:val="center"/>
          </w:tcPr>
          <w:p>
            <w:pPr>
              <w:pStyle w:val="TableContents"/>
              <w:bidi w:val="0"/>
              <w:spacing w:before="0" w:after="283"/>
              <w:ind w:hanging="0" w:left="0" w:right="0"/>
              <w:jc w:val="right"/>
              <w:rPr/>
            </w:pPr>
            <w:r>
              <w:rPr/>
              <w:t>24</w:t>
            </w:r>
          </w:p>
        </w:tc>
        <w:tc>
          <w:tcPr>
            <w:tcW w:w="5385" w:type="dxa"/>
            <w:tcBorders/>
            <w:vAlign w:val="center"/>
          </w:tcPr>
          <w:p>
            <w:pPr>
              <w:pStyle w:val="TableContents"/>
              <w:bidi w:val="0"/>
              <w:spacing w:before="0" w:after="283"/>
              <w:ind w:hanging="0" w:left="0" w:right="0"/>
              <w:jc w:val="left"/>
              <w:rPr/>
            </w:pPr>
            <w:r>
              <w:rPr/>
              <w:t>weakest; prone to repetition</w:t>
            </w:r>
          </w:p>
        </w:tc>
      </w:tr>
      <w:tr>
        <w:trPr/>
        <w:tc>
          <w:tcPr>
            <w:tcW w:w="1853" w:type="dxa"/>
            <w:tcBorders/>
            <w:vAlign w:val="center"/>
          </w:tcPr>
          <w:p>
            <w:pPr>
              <w:pStyle w:val="TableContents"/>
              <w:bidi w:val="0"/>
              <w:spacing w:before="0" w:after="283"/>
              <w:ind w:hanging="0" w:left="0" w:right="0"/>
              <w:jc w:val="left"/>
              <w:rPr/>
            </w:pPr>
            <w:r>
              <w:rPr/>
              <w:t>SmolLM2</w:t>
              <w:noBreakHyphen/>
              <w:t>135M Q8</w:t>
            </w:r>
          </w:p>
        </w:tc>
        <w:tc>
          <w:tcPr>
            <w:tcW w:w="631" w:type="dxa"/>
            <w:tcBorders/>
            <w:vAlign w:val="center"/>
          </w:tcPr>
          <w:p>
            <w:pPr>
              <w:pStyle w:val="TableContents"/>
              <w:bidi w:val="0"/>
              <w:spacing w:before="0" w:after="283"/>
              <w:ind w:hanging="0" w:left="0" w:right="0"/>
              <w:jc w:val="right"/>
              <w:rPr/>
            </w:pPr>
            <w:r>
              <w:rPr/>
              <w:t>28</w:t>
            </w:r>
          </w:p>
        </w:tc>
        <w:tc>
          <w:tcPr>
            <w:tcW w:w="5385" w:type="dxa"/>
            <w:tcBorders/>
            <w:vAlign w:val="center"/>
          </w:tcPr>
          <w:p>
            <w:pPr>
              <w:pStyle w:val="TableContents"/>
              <w:bidi w:val="0"/>
              <w:spacing w:before="0" w:after="283"/>
              <w:ind w:hanging="0" w:left="0" w:right="0"/>
              <w:jc w:val="left"/>
              <w:rPr/>
            </w:pPr>
            <w:r>
              <w:rPr/>
              <w:t xml:space="preserve">≈ </w:t>
            </w:r>
            <w:r>
              <w:rPr/>
              <w:t>Q4 (same network; difference attributable to sampling)</w:t>
            </w:r>
          </w:p>
        </w:tc>
      </w:tr>
      <w:tr>
        <w:trPr/>
        <w:tc>
          <w:tcPr>
            <w:tcW w:w="1853" w:type="dxa"/>
            <w:tcBorders/>
            <w:vAlign w:val="center"/>
          </w:tcPr>
          <w:p>
            <w:pPr>
              <w:pStyle w:val="TableContents"/>
              <w:bidi w:val="0"/>
              <w:spacing w:before="0" w:after="283"/>
              <w:ind w:hanging="0" w:left="0" w:right="0"/>
              <w:jc w:val="left"/>
              <w:rPr/>
            </w:pPr>
            <w:r>
              <w:rPr/>
              <w:t>SmolLM2</w:t>
              <w:noBreakHyphen/>
              <w:t>360M Q4</w:t>
            </w:r>
          </w:p>
        </w:tc>
        <w:tc>
          <w:tcPr>
            <w:tcW w:w="631" w:type="dxa"/>
            <w:tcBorders/>
            <w:vAlign w:val="center"/>
          </w:tcPr>
          <w:p>
            <w:pPr>
              <w:pStyle w:val="TableContents"/>
              <w:bidi w:val="0"/>
              <w:spacing w:before="0" w:after="283"/>
              <w:ind w:hanging="0" w:left="0" w:right="0"/>
              <w:jc w:val="right"/>
              <w:rPr/>
            </w:pPr>
            <w:r>
              <w:rPr/>
              <w:t>40</w:t>
            </w:r>
          </w:p>
        </w:tc>
        <w:tc>
          <w:tcPr>
            <w:tcW w:w="5385" w:type="dxa"/>
            <w:tcBorders/>
            <w:vAlign w:val="center"/>
          </w:tcPr>
          <w:p>
            <w:pPr>
              <w:pStyle w:val="TableContents"/>
              <w:bidi w:val="0"/>
              <w:spacing w:before="0" w:after="283"/>
              <w:jc w:val="left"/>
              <w:rPr/>
            </w:pPr>
            <w:r>
              <w:rPr/>
              <w:t>strongest; the only configuration to answer several technical items correctly</w:t>
            </w:r>
          </w:p>
        </w:tc>
      </w:tr>
    </w:tbl>
    <w:p>
      <w:pPr>
        <w:pStyle w:val="BodyText"/>
        <w:bidi w:val="0"/>
        <w:rPr/>
      </w:pPr>
      <w:r>
        <w:rPr/>
        <w:t>The negligible Q4–Q8 quality difference is expected, as they implement the same network; this is precisely why that pair is used for the bandwidth experiment and not for quality claims. The quality improvement of the 360M model is attributable to parameter count, at the cost of a 2.2× increase in latency per response. All configurations remain factually unreliable at this scale and are best regarded as producing well</w:t>
        <w:noBreakHyphen/>
        <w:t>structured rather than authoritative output.</w:t>
      </w:r>
    </w:p>
    <w:p>
      <w:pPr>
        <w:pStyle w:val="Heading2"/>
        <w:bidi w:val="0"/>
        <w:jc w:val="left"/>
        <w:rPr/>
      </w:pPr>
      <w:r>
        <w:rPr/>
        <w:t>6.6 Comparative Baseline</w:t>
      </w:r>
    </w:p>
    <w:p>
      <w:pPr>
        <w:pStyle w:val="BodyText"/>
        <w:bidi w:val="0"/>
        <w:rPr/>
      </w:pPr>
      <w:r>
        <w:rPr/>
        <w:t>For external context, a teammate measured the same model (SmolLM2</w:t>
        <w:noBreakHyphen/>
        <w:t>135M Q4) on an NVIDIA Jetson TX1, obtaining approximately 14.92 tok/s, against 4.13 tok/s for the present design. The roughly 3.6× advantage of the Jetson is consistent with its order</w:t>
        <w:noBreakHyphen/>
        <w:t>of</w:t>
        <w:noBreakHyphen/>
        <w:t>magnitude higher clock frequency and greater memory bandwidth. As the objective of this work is efficiency on a low</w:t>
        <w:noBreakHyphen/>
        <w:t>cost FPGA rather than absolute throughput, the meaningful comparison is energy efficiency (tokens per second per watt); the requisite power measurement is identified as the principal open item (Section 7.5).</w:t>
      </w:r>
    </w:p>
    <w:p>
      <w:pPr>
        <w:pStyle w:val="Heading2"/>
        <w:bidi w:val="0"/>
        <w:jc w:val="left"/>
        <w:rPr/>
      </w:pPr>
      <w:r>
        <w:rPr/>
        <w:t>6.7 Discussion</w:t>
      </w:r>
    </w:p>
    <w:p>
      <w:pPr>
        <w:pStyle w:val="BodyText"/>
        <w:bidi w:val="0"/>
        <w:rPr/>
      </w:pPr>
      <w:r>
        <w:rPr/>
        <w:t>The characterisation yields a clear and quantitatively supported conclusion: the design is memory</w:t>
        <w:noBreakHyphen/>
        <w:t>bandwidth</w:t>
        <w:noBreakHyphen/>
        <w:t>bound, and the bottleneck lies in the on</w:t>
        <w:noBreakHyphen/>
        <w:t>chip memory path rather than the DRAM or the compute units, the latter being idle 30–42 % of the time. This result determines the direction of the optimisation plan in Chapter 7 — namely, that performance is to be improved by increasing delivered bandwidth or reducing data volume per token, not by adding arithmetic resources.</w:t>
      </w:r>
    </w:p>
    <w:p>
      <w:pPr>
        <w:pStyle w:val="HorizontalLine"/>
        <w:bidi w:val="0"/>
        <w:jc w:val="left"/>
        <w:rPr/>
      </w:pPr>
      <w:r>
        <w:rPr/>
      </w:r>
    </w:p>
    <w:p>
      <w:pPr>
        <w:pStyle w:val="Heading1chapter"/>
        <w:bidi w:val="0"/>
        <w:jc w:val="left"/>
        <w:rPr/>
      </w:pPr>
      <w:r>
        <w:rPr/>
        <w:t>Chapter 7 — Proposed Optimisations (Future Work)</w:t>
      </w:r>
    </w:p>
    <w:p>
      <w:pPr>
        <w:pStyle w:val="Heading2"/>
        <w:bidi w:val="0"/>
        <w:jc w:val="left"/>
        <w:rPr/>
      </w:pPr>
      <w:r>
        <w:rPr/>
        <w:t>7.1 Analytical Basis</w:t>
      </w:r>
    </w:p>
    <w:p>
      <w:pPr>
        <w:pStyle w:val="BodyText"/>
        <w:bidi w:val="0"/>
        <w:rPr/>
      </w:pPr>
      <w:r>
        <w:rPr/>
        <w:t>From the governing relationship of Section 6.2, throughput is improved by raising delivered bandwidth (the numerator) or reducing bytes per token (the denominator). The measurements of Chapter 6 show substantial headroom in the former, since the delivered bandwidth is well below both the memory port's clock</w:t>
        <w:noBreakHyphen/>
        <w:t>limited ceiling and the DRAM's raw capability, and the read engine is idle for a significant fraction of each run. The proposed work is organised accordingly (Table 7.1).</w:t>
      </w:r>
    </w:p>
    <w:p>
      <w:pPr>
        <w:pStyle w:val="BodyText"/>
        <w:bidi w:val="0"/>
        <w:rPr/>
      </w:pPr>
      <w:r>
        <w:rPr>
          <w:rStyle w:val="Strong"/>
        </w:rPr>
        <w:t>Table 7.1 — Proposed optimisation tracks.</w:t>
      </w:r>
    </w:p>
    <w:tbl>
      <w:tblPr>
        <w:tblW w:w="7869" w:type="dxa"/>
        <w:jc w:val="left"/>
        <w:tblInd w:w="0" w:type="dxa"/>
        <w:tblLayout w:type="fixed"/>
        <w:tblCellMar>
          <w:top w:w="28" w:type="dxa"/>
          <w:left w:w="28" w:type="dxa"/>
          <w:bottom w:w="28" w:type="dxa"/>
          <w:right w:w="28" w:type="dxa"/>
        </w:tblCellMar>
      </w:tblPr>
      <w:tblGrid>
        <w:gridCol w:w="712"/>
        <w:gridCol w:w="2850"/>
        <w:gridCol w:w="2198"/>
        <w:gridCol w:w="2109"/>
      </w:tblGrid>
      <w:tr>
        <w:trPr>
          <w:tblHeader w:val="true"/>
        </w:trPr>
        <w:tc>
          <w:tcPr>
            <w:tcW w:w="712" w:type="dxa"/>
            <w:tcBorders/>
            <w:vAlign w:val="center"/>
          </w:tcPr>
          <w:p>
            <w:pPr>
              <w:pStyle w:val="TableHeading"/>
              <w:bidi w:val="0"/>
              <w:spacing w:before="0" w:after="283"/>
              <w:ind w:hanging="0" w:left="0" w:right="0"/>
              <w:jc w:val="left"/>
              <w:rPr/>
            </w:pPr>
            <w:r>
              <w:rPr/>
              <w:t>Track</w:t>
            </w:r>
          </w:p>
        </w:tc>
        <w:tc>
          <w:tcPr>
            <w:tcW w:w="2850" w:type="dxa"/>
            <w:tcBorders/>
            <w:vAlign w:val="center"/>
          </w:tcPr>
          <w:p>
            <w:pPr>
              <w:pStyle w:val="TableHeading"/>
              <w:bidi w:val="0"/>
              <w:spacing w:before="0" w:after="283"/>
              <w:ind w:hanging="0" w:left="0" w:right="0"/>
              <w:jc w:val="left"/>
              <w:rPr/>
            </w:pPr>
            <w:r>
              <w:rPr/>
              <w:t>Measure</w:t>
            </w:r>
          </w:p>
        </w:tc>
        <w:tc>
          <w:tcPr>
            <w:tcW w:w="2198" w:type="dxa"/>
            <w:tcBorders/>
            <w:vAlign w:val="center"/>
          </w:tcPr>
          <w:p>
            <w:pPr>
              <w:pStyle w:val="TableHeading"/>
              <w:bidi w:val="0"/>
              <w:spacing w:before="0" w:after="283"/>
              <w:ind w:hanging="0" w:left="0" w:right="0"/>
              <w:jc w:val="left"/>
              <w:rPr/>
            </w:pPr>
            <w:r>
              <w:rPr/>
              <w:t>Rationale (from Chapter 6)</w:t>
            </w:r>
          </w:p>
        </w:tc>
        <w:tc>
          <w:tcPr>
            <w:tcW w:w="2109" w:type="dxa"/>
            <w:tcBorders/>
            <w:vAlign w:val="center"/>
          </w:tcPr>
          <w:p>
            <w:pPr>
              <w:pStyle w:val="TableHeading"/>
              <w:bidi w:val="0"/>
              <w:spacing w:before="0" w:after="283"/>
              <w:ind w:hanging="0" w:left="0" w:right="0"/>
              <w:jc w:val="left"/>
              <w:rPr/>
            </w:pPr>
            <w:r>
              <w:rPr/>
              <w:t>Requires</w:t>
            </w:r>
          </w:p>
        </w:tc>
      </w:tr>
      <w:tr>
        <w:trPr/>
        <w:tc>
          <w:tcPr>
            <w:tcW w:w="712" w:type="dxa"/>
            <w:tcBorders/>
            <w:vAlign w:val="center"/>
          </w:tcPr>
          <w:p>
            <w:pPr>
              <w:pStyle w:val="TableContents"/>
              <w:bidi w:val="0"/>
              <w:spacing w:before="0" w:after="283"/>
              <w:ind w:hanging="0" w:left="0" w:right="0"/>
              <w:jc w:val="left"/>
              <w:rPr/>
            </w:pPr>
            <w:r>
              <w:rPr/>
              <w:t>A1</w:t>
            </w:r>
          </w:p>
        </w:tc>
        <w:tc>
          <w:tcPr>
            <w:tcW w:w="2850" w:type="dxa"/>
            <w:tcBorders/>
            <w:vAlign w:val="center"/>
          </w:tcPr>
          <w:p>
            <w:pPr>
              <w:pStyle w:val="TableContents"/>
              <w:bidi w:val="0"/>
              <w:spacing w:before="0" w:after="283"/>
              <w:ind w:hanging="0" w:left="0" w:right="0"/>
              <w:jc w:val="left"/>
              <w:rPr/>
            </w:pPr>
            <w:r>
              <w:rPr/>
              <w:t>Raise the HP/memory</w:t>
              <w:noBreakHyphen/>
              <w:t>port clock (≈ 94 → ~188 MHz)</w:t>
            </w:r>
          </w:p>
        </w:tc>
        <w:tc>
          <w:tcPr>
            <w:tcW w:w="2198" w:type="dxa"/>
            <w:tcBorders/>
            <w:vAlign w:val="center"/>
          </w:tcPr>
          <w:p>
            <w:pPr>
              <w:pStyle w:val="TableContents"/>
              <w:bidi w:val="0"/>
              <w:spacing w:before="0" w:after="283"/>
              <w:ind w:hanging="0" w:left="0" w:right="0"/>
              <w:jc w:val="left"/>
              <w:rPr/>
            </w:pPr>
            <w:r>
              <w:rPr/>
              <w:t>delivered BW is 57–71 % of the port ceiling</w:t>
            </w:r>
          </w:p>
        </w:tc>
        <w:tc>
          <w:tcPr>
            <w:tcW w:w="2109" w:type="dxa"/>
            <w:tcBorders/>
            <w:vAlign w:val="center"/>
          </w:tcPr>
          <w:p>
            <w:pPr>
              <w:pStyle w:val="TableContents"/>
              <w:bidi w:val="0"/>
              <w:spacing w:before="0" w:after="283"/>
              <w:ind w:hanging="0" w:left="0" w:right="0"/>
              <w:jc w:val="left"/>
              <w:rPr/>
            </w:pPr>
            <w:r>
              <w:rPr/>
              <w:t>bitstream rebuild + re</w:t>
              <w:noBreakHyphen/>
              <w:t>closure</w:t>
            </w:r>
          </w:p>
        </w:tc>
      </w:tr>
      <w:tr>
        <w:trPr/>
        <w:tc>
          <w:tcPr>
            <w:tcW w:w="712" w:type="dxa"/>
            <w:tcBorders/>
            <w:vAlign w:val="center"/>
          </w:tcPr>
          <w:p>
            <w:pPr>
              <w:pStyle w:val="TableContents"/>
              <w:bidi w:val="0"/>
              <w:spacing w:before="0" w:after="283"/>
              <w:ind w:hanging="0" w:left="0" w:right="0"/>
              <w:jc w:val="left"/>
              <w:rPr/>
            </w:pPr>
            <w:r>
              <w:rPr/>
              <w:t>A2</w:t>
            </w:r>
          </w:p>
        </w:tc>
        <w:tc>
          <w:tcPr>
            <w:tcW w:w="2850" w:type="dxa"/>
            <w:tcBorders/>
            <w:vAlign w:val="center"/>
          </w:tcPr>
          <w:p>
            <w:pPr>
              <w:pStyle w:val="TableContents"/>
              <w:bidi w:val="0"/>
              <w:spacing w:before="0" w:after="283"/>
              <w:ind w:hanging="0" w:left="0" w:right="0"/>
              <w:jc w:val="left"/>
              <w:rPr/>
            </w:pPr>
            <w:r>
              <w:rPr/>
              <w:t>Widen the memory path 64 → 128 bits (dual HP ports)</w:t>
            </w:r>
          </w:p>
        </w:tc>
        <w:tc>
          <w:tcPr>
            <w:tcW w:w="2198" w:type="dxa"/>
            <w:tcBorders/>
            <w:vAlign w:val="center"/>
          </w:tcPr>
          <w:p>
            <w:pPr>
              <w:pStyle w:val="TableContents"/>
              <w:bidi w:val="0"/>
              <w:spacing w:before="0" w:after="283"/>
              <w:ind w:hanging="0" w:left="0" w:right="0"/>
              <w:jc w:val="left"/>
              <w:rPr/>
            </w:pPr>
            <w:r>
              <w:rPr/>
              <w:t>restores the Arty</w:t>
              <w:noBreakHyphen/>
              <w:t>class width</w:t>
            </w:r>
          </w:p>
        </w:tc>
        <w:tc>
          <w:tcPr>
            <w:tcW w:w="2109" w:type="dxa"/>
            <w:tcBorders/>
            <w:vAlign w:val="center"/>
          </w:tcPr>
          <w:p>
            <w:pPr>
              <w:pStyle w:val="TableContents"/>
              <w:bidi w:val="0"/>
              <w:spacing w:before="0" w:after="283"/>
              <w:ind w:hanging="0" w:left="0" w:right="0"/>
              <w:jc w:val="left"/>
              <w:rPr/>
            </w:pPr>
            <w:r>
              <w:rPr/>
              <w:t>bitstream rebuild</w:t>
            </w:r>
          </w:p>
        </w:tc>
      </w:tr>
      <w:tr>
        <w:trPr/>
        <w:tc>
          <w:tcPr>
            <w:tcW w:w="712" w:type="dxa"/>
            <w:tcBorders/>
            <w:vAlign w:val="center"/>
          </w:tcPr>
          <w:p>
            <w:pPr>
              <w:pStyle w:val="TableContents"/>
              <w:bidi w:val="0"/>
              <w:spacing w:before="0" w:after="283"/>
              <w:ind w:hanging="0" w:left="0" w:right="0"/>
              <w:jc w:val="left"/>
              <w:rPr/>
            </w:pPr>
            <w:r>
              <w:rPr/>
              <w:t>A3</w:t>
            </w:r>
          </w:p>
        </w:tc>
        <w:tc>
          <w:tcPr>
            <w:tcW w:w="2850" w:type="dxa"/>
            <w:tcBorders/>
            <w:vAlign w:val="center"/>
          </w:tcPr>
          <w:p>
            <w:pPr>
              <w:pStyle w:val="TableContents"/>
              <w:bidi w:val="0"/>
              <w:spacing w:before="0" w:after="283"/>
              <w:ind w:hanging="0" w:left="0" w:right="0"/>
              <w:jc w:val="left"/>
              <w:rPr/>
            </w:pPr>
            <w:r>
              <w:rPr/>
              <w:t>Increase outstanding reads / prefetch depth / burst length</w:t>
            </w:r>
          </w:p>
        </w:tc>
        <w:tc>
          <w:tcPr>
            <w:tcW w:w="2198" w:type="dxa"/>
            <w:tcBorders/>
            <w:vAlign w:val="center"/>
          </w:tcPr>
          <w:p>
            <w:pPr>
              <w:pStyle w:val="TableContents"/>
              <w:bidi w:val="0"/>
              <w:spacing w:before="0" w:after="283"/>
              <w:ind w:hanging="0" w:left="0" w:right="0"/>
              <w:jc w:val="left"/>
              <w:rPr/>
            </w:pPr>
            <w:r>
              <w:rPr/>
              <w:t>read engine idle 30–42 %</w:t>
            </w:r>
          </w:p>
        </w:tc>
        <w:tc>
          <w:tcPr>
            <w:tcW w:w="2109" w:type="dxa"/>
            <w:tcBorders/>
            <w:vAlign w:val="center"/>
          </w:tcPr>
          <w:p>
            <w:pPr>
              <w:pStyle w:val="TableContents"/>
              <w:bidi w:val="0"/>
              <w:spacing w:before="0" w:after="283"/>
              <w:ind w:hanging="0" w:left="0" w:right="0"/>
              <w:jc w:val="left"/>
              <w:rPr/>
            </w:pPr>
            <w:r>
              <w:rPr/>
              <w:t>bitstream rebuild</w:t>
            </w:r>
          </w:p>
        </w:tc>
      </w:tr>
      <w:tr>
        <w:trPr/>
        <w:tc>
          <w:tcPr>
            <w:tcW w:w="712" w:type="dxa"/>
            <w:tcBorders/>
            <w:vAlign w:val="center"/>
          </w:tcPr>
          <w:p>
            <w:pPr>
              <w:pStyle w:val="TableContents"/>
              <w:bidi w:val="0"/>
              <w:spacing w:before="0" w:after="283"/>
              <w:ind w:hanging="0" w:left="0" w:right="0"/>
              <w:jc w:val="left"/>
              <w:rPr/>
            </w:pPr>
            <w:r>
              <w:rPr/>
              <w:t>B1</w:t>
            </w:r>
          </w:p>
        </w:tc>
        <w:tc>
          <w:tcPr>
            <w:tcW w:w="2850" w:type="dxa"/>
            <w:tcBorders/>
            <w:vAlign w:val="center"/>
          </w:tcPr>
          <w:p>
            <w:pPr>
              <w:pStyle w:val="TableContents"/>
              <w:bidi w:val="0"/>
              <w:spacing w:before="0" w:after="283"/>
              <w:ind w:hanging="0" w:left="0" w:right="0"/>
              <w:jc w:val="left"/>
              <w:rPr/>
            </w:pPr>
            <w:r>
              <w:rPr/>
              <w:t>Quantise the key/value cache (FP16 → INT8)</w:t>
            </w:r>
          </w:p>
        </w:tc>
        <w:tc>
          <w:tcPr>
            <w:tcW w:w="2198" w:type="dxa"/>
            <w:tcBorders/>
            <w:vAlign w:val="center"/>
          </w:tcPr>
          <w:p>
            <w:pPr>
              <w:pStyle w:val="TableContents"/>
              <w:bidi w:val="0"/>
              <w:spacing w:before="0" w:after="283"/>
              <w:ind w:hanging="0" w:left="0" w:right="0"/>
              <w:jc w:val="left"/>
              <w:rPr/>
            </w:pPr>
            <w:r>
              <w:rPr/>
              <w:t>reduces per</w:t>
              <w:noBreakHyphen/>
              <w:t>token data volume</w:t>
            </w:r>
          </w:p>
        </w:tc>
        <w:tc>
          <w:tcPr>
            <w:tcW w:w="2109" w:type="dxa"/>
            <w:tcBorders/>
            <w:vAlign w:val="center"/>
          </w:tcPr>
          <w:p>
            <w:pPr>
              <w:pStyle w:val="TableContents"/>
              <w:bidi w:val="0"/>
              <w:spacing w:before="0" w:after="283"/>
              <w:ind w:hanging="0" w:left="0" w:right="0"/>
              <w:jc w:val="left"/>
              <w:rPr/>
            </w:pPr>
            <w:r>
              <w:rPr/>
              <w:t>firmware only</w:t>
            </w:r>
          </w:p>
        </w:tc>
      </w:tr>
      <w:tr>
        <w:trPr/>
        <w:tc>
          <w:tcPr>
            <w:tcW w:w="712" w:type="dxa"/>
            <w:tcBorders/>
            <w:vAlign w:val="center"/>
          </w:tcPr>
          <w:p>
            <w:pPr>
              <w:pStyle w:val="TableContents"/>
              <w:bidi w:val="0"/>
              <w:spacing w:before="0" w:after="283"/>
              <w:ind w:hanging="0" w:left="0" w:right="0"/>
              <w:jc w:val="left"/>
              <w:rPr/>
            </w:pPr>
            <w:r>
              <w:rPr/>
              <w:t>B2</w:t>
            </w:r>
          </w:p>
        </w:tc>
        <w:tc>
          <w:tcPr>
            <w:tcW w:w="2850" w:type="dxa"/>
            <w:tcBorders/>
            <w:vAlign w:val="center"/>
          </w:tcPr>
          <w:p>
            <w:pPr>
              <w:pStyle w:val="TableContents"/>
              <w:bidi w:val="0"/>
              <w:spacing w:before="0" w:after="283"/>
              <w:ind w:hanging="0" w:left="0" w:right="0"/>
              <w:jc w:val="left"/>
              <w:rPr/>
            </w:pPr>
            <w:r>
              <w:rPr/>
              <w:t>Cache reused tensors in scratch</w:t>
              <w:noBreakHyphen/>
              <w:t>pad SRAM</w:t>
            </w:r>
          </w:p>
        </w:tc>
        <w:tc>
          <w:tcPr>
            <w:tcW w:w="2198" w:type="dxa"/>
            <w:tcBorders/>
            <w:vAlign w:val="center"/>
          </w:tcPr>
          <w:p>
            <w:pPr>
              <w:pStyle w:val="TableContents"/>
              <w:bidi w:val="0"/>
              <w:spacing w:before="0" w:after="283"/>
              <w:ind w:hanging="0" w:left="0" w:right="0"/>
              <w:jc w:val="left"/>
              <w:rPr/>
            </w:pPr>
            <w:r>
              <w:rPr/>
              <w:t>avoids re</w:t>
              <w:noBreakHyphen/>
              <w:t>reading invariants per token</w:t>
            </w:r>
          </w:p>
        </w:tc>
        <w:tc>
          <w:tcPr>
            <w:tcW w:w="2109" w:type="dxa"/>
            <w:tcBorders/>
            <w:vAlign w:val="center"/>
          </w:tcPr>
          <w:p>
            <w:pPr>
              <w:pStyle w:val="TableContents"/>
              <w:bidi w:val="0"/>
              <w:spacing w:before="0" w:after="283"/>
              <w:ind w:hanging="0" w:left="0" w:right="0"/>
              <w:jc w:val="left"/>
              <w:rPr/>
            </w:pPr>
            <w:r>
              <w:rPr/>
              <w:t>firmware only</w:t>
            </w:r>
          </w:p>
        </w:tc>
      </w:tr>
      <w:tr>
        <w:trPr/>
        <w:tc>
          <w:tcPr>
            <w:tcW w:w="712" w:type="dxa"/>
            <w:tcBorders/>
            <w:vAlign w:val="center"/>
          </w:tcPr>
          <w:p>
            <w:pPr>
              <w:pStyle w:val="TableContents"/>
              <w:bidi w:val="0"/>
              <w:spacing w:before="0" w:after="283"/>
              <w:ind w:hanging="0" w:left="0" w:right="0"/>
              <w:jc w:val="left"/>
              <w:rPr/>
            </w:pPr>
            <w:r>
              <w:rPr/>
              <w:t>B3</w:t>
            </w:r>
          </w:p>
        </w:tc>
        <w:tc>
          <w:tcPr>
            <w:tcW w:w="2850" w:type="dxa"/>
            <w:tcBorders/>
            <w:vAlign w:val="center"/>
          </w:tcPr>
          <w:p>
            <w:pPr>
              <w:pStyle w:val="TableContents"/>
              <w:bidi w:val="0"/>
              <w:spacing w:before="0" w:after="283"/>
              <w:ind w:hanging="0" w:left="0" w:right="0"/>
              <w:jc w:val="left"/>
              <w:rPr/>
            </w:pPr>
            <w:r>
              <w:rPr/>
              <w:t>Sub</w:t>
              <w:noBreakHyphen/>
              <w:t>4</w:t>
              <w:noBreakHyphen/>
              <w:t>bit / mixed quantisation on tolerant layers</w:t>
            </w:r>
          </w:p>
        </w:tc>
        <w:tc>
          <w:tcPr>
            <w:tcW w:w="2198" w:type="dxa"/>
            <w:tcBorders/>
            <w:vAlign w:val="center"/>
          </w:tcPr>
          <w:p>
            <w:pPr>
              <w:pStyle w:val="TableContents"/>
              <w:bidi w:val="0"/>
              <w:spacing w:before="0" w:after="283"/>
              <w:ind w:hanging="0" w:left="0" w:right="0"/>
              <w:jc w:val="left"/>
              <w:rPr/>
            </w:pPr>
            <w:r>
              <w:rPr/>
              <w:t>reduces data volume (quality trade</w:t>
              <w:noBreakHyphen/>
              <w:t>off)</w:t>
            </w:r>
          </w:p>
        </w:tc>
        <w:tc>
          <w:tcPr>
            <w:tcW w:w="2109" w:type="dxa"/>
            <w:tcBorders/>
            <w:vAlign w:val="center"/>
          </w:tcPr>
          <w:p>
            <w:pPr>
              <w:pStyle w:val="TableContents"/>
              <w:bidi w:val="0"/>
              <w:spacing w:before="0" w:after="283"/>
              <w:ind w:hanging="0" w:left="0" w:right="0"/>
              <w:jc w:val="left"/>
              <w:rPr/>
            </w:pPr>
            <w:r>
              <w:rPr/>
              <w:t>firmware + tooling</w:t>
            </w:r>
          </w:p>
        </w:tc>
      </w:tr>
      <w:tr>
        <w:trPr/>
        <w:tc>
          <w:tcPr>
            <w:tcW w:w="712" w:type="dxa"/>
            <w:tcBorders/>
            <w:vAlign w:val="center"/>
          </w:tcPr>
          <w:p>
            <w:pPr>
              <w:pStyle w:val="TableContents"/>
              <w:bidi w:val="0"/>
              <w:spacing w:before="0" w:after="283"/>
              <w:ind w:hanging="0" w:left="0" w:right="0"/>
              <w:jc w:val="left"/>
              <w:rPr/>
            </w:pPr>
            <w:r>
              <w:rPr/>
              <w:t>C1</w:t>
            </w:r>
          </w:p>
        </w:tc>
        <w:tc>
          <w:tcPr>
            <w:tcW w:w="2850" w:type="dxa"/>
            <w:tcBorders/>
            <w:vAlign w:val="center"/>
          </w:tcPr>
          <w:p>
            <w:pPr>
              <w:pStyle w:val="TableContents"/>
              <w:bidi w:val="0"/>
              <w:spacing w:before="0" w:after="283"/>
              <w:ind w:hanging="0" w:left="0" w:right="0"/>
              <w:jc w:val="left"/>
              <w:rPr/>
            </w:pPr>
            <w:r>
              <w:rPr/>
              <w:t>Double</w:t>
              <w:noBreakHyphen/>
              <w:t>buffer (prefetch next layer during compute)</w:t>
            </w:r>
          </w:p>
        </w:tc>
        <w:tc>
          <w:tcPr>
            <w:tcW w:w="2198" w:type="dxa"/>
            <w:tcBorders/>
            <w:vAlign w:val="center"/>
          </w:tcPr>
          <w:p>
            <w:pPr>
              <w:pStyle w:val="TableContents"/>
              <w:bidi w:val="0"/>
              <w:spacing w:before="0" w:after="283"/>
              <w:ind w:hanging="0" w:left="0" w:right="0"/>
              <w:jc w:val="left"/>
              <w:rPr/>
            </w:pPr>
            <w:r>
              <w:rPr/>
              <w:t>converts measured idle time into work</w:t>
            </w:r>
          </w:p>
        </w:tc>
        <w:tc>
          <w:tcPr>
            <w:tcW w:w="2109" w:type="dxa"/>
            <w:tcBorders/>
            <w:vAlign w:val="center"/>
          </w:tcPr>
          <w:p>
            <w:pPr>
              <w:pStyle w:val="TableContents"/>
              <w:bidi w:val="0"/>
              <w:spacing w:before="0" w:after="283"/>
              <w:ind w:hanging="0" w:left="0" w:right="0"/>
              <w:jc w:val="left"/>
              <w:rPr/>
            </w:pPr>
            <w:r>
              <w:rPr/>
              <w:t>bitstream rebuild</w:t>
            </w:r>
          </w:p>
        </w:tc>
      </w:tr>
      <w:tr>
        <w:trPr/>
        <w:tc>
          <w:tcPr>
            <w:tcW w:w="712" w:type="dxa"/>
            <w:tcBorders/>
            <w:vAlign w:val="center"/>
          </w:tcPr>
          <w:p>
            <w:pPr>
              <w:pStyle w:val="TableContents"/>
              <w:bidi w:val="0"/>
              <w:spacing w:before="0" w:after="283"/>
              <w:ind w:hanging="0" w:left="0" w:right="0"/>
              <w:jc w:val="left"/>
              <w:rPr/>
            </w:pPr>
            <w:r>
              <w:rPr/>
              <w:t>D1/D2</w:t>
            </w:r>
          </w:p>
        </w:tc>
        <w:tc>
          <w:tcPr>
            <w:tcW w:w="2850" w:type="dxa"/>
            <w:tcBorders/>
            <w:vAlign w:val="center"/>
          </w:tcPr>
          <w:p>
            <w:pPr>
              <w:pStyle w:val="TableContents"/>
              <w:bidi w:val="0"/>
              <w:spacing w:before="0" w:after="283"/>
              <w:ind w:hanging="0" w:left="0" w:right="0"/>
              <w:jc w:val="left"/>
              <w:rPr/>
            </w:pPr>
            <w:r>
              <w:rPr/>
              <w:t>Per</w:t>
              <w:noBreakHyphen/>
              <w:t>kernel profiling; rail</w:t>
              <w:noBreakHyphen/>
              <w:t>power measurement</w:t>
            </w:r>
          </w:p>
        </w:tc>
        <w:tc>
          <w:tcPr>
            <w:tcW w:w="2198" w:type="dxa"/>
            <w:tcBorders/>
            <w:vAlign w:val="center"/>
          </w:tcPr>
          <w:p>
            <w:pPr>
              <w:pStyle w:val="TableContents"/>
              <w:bidi w:val="0"/>
              <w:spacing w:before="0" w:after="283"/>
              <w:ind w:hanging="0" w:left="0" w:right="0"/>
              <w:jc w:val="left"/>
              <w:rPr/>
            </w:pPr>
            <w:r>
              <w:rPr/>
              <w:t>guides effort; enables tok/s</w:t>
              <w:noBreakHyphen/>
              <w:t>per</w:t>
              <w:noBreakHyphen/>
              <w:t>watt</w:t>
            </w:r>
          </w:p>
        </w:tc>
        <w:tc>
          <w:tcPr>
            <w:tcW w:w="2109" w:type="dxa"/>
            <w:tcBorders/>
            <w:vAlign w:val="center"/>
          </w:tcPr>
          <w:p>
            <w:pPr>
              <w:pStyle w:val="TableContents"/>
              <w:bidi w:val="0"/>
              <w:spacing w:before="0" w:after="283"/>
              <w:jc w:val="left"/>
              <w:rPr/>
            </w:pPr>
            <w:r>
              <w:rPr/>
              <w:t>firmware / instrumentation</w:t>
            </w:r>
          </w:p>
        </w:tc>
      </w:tr>
    </w:tbl>
    <w:p>
      <w:pPr>
        <w:pStyle w:val="Heading2"/>
        <w:bidi w:val="0"/>
        <w:jc w:val="left"/>
        <w:rPr/>
      </w:pPr>
      <w:r>
        <w:rPr/>
        <w:t>7.2–7.4 Summary of Tracks</w:t>
      </w:r>
    </w:p>
    <w:p>
      <w:pPr>
        <w:pStyle w:val="BodyText"/>
        <w:bidi w:val="0"/>
        <w:rPr/>
      </w:pPr>
      <w:r>
        <w:rPr/>
        <w:t>Track A targets delivered bandwidth, the largest lever, through clock frequency, datapath width, and improved memory</w:t>
        <w:noBreakHyphen/>
        <w:t>transaction concurrency; these require hardware changes and a renewed timing closure. Track B reduces data volume in firmware, primarily by compressing the key/value cache and by retaining invariant tensors on chip. Track C overlaps computation with memory transfer through double</w:t>
        <w:noBreakHyphen/>
        <w:t>buffering, directly recovering the measured idle fraction. Track D sustains the measurement infrastructure, adding per</w:t>
        <w:noBreakHyphen/>
        <w:t>kernel profiling and the rail</w:t>
        <w:noBreakHyphen/>
        <w:t>level power measurement required for an energy</w:t>
        <w:noBreakHyphen/>
        <w:t>efficiency figure.</w:t>
      </w:r>
    </w:p>
    <w:p>
      <w:pPr>
        <w:pStyle w:val="Heading2"/>
        <w:bidi w:val="0"/>
        <w:jc w:val="left"/>
        <w:rPr/>
      </w:pPr>
      <w:r>
        <w:rPr/>
        <w:t>7.5 Roadmap and Expected Gains</w:t>
      </w:r>
    </w:p>
    <w:p>
      <w:pPr>
        <w:pStyle w:val="BodyText"/>
        <w:bidi w:val="0"/>
        <w:rPr/>
      </w:pPr>
      <w:r>
        <w:rPr/>
        <w:t>A pragmatic order is D1 → A1 → A3 → C1 → A2 → B, beginning with the lowest</w:t>
        <w:noBreakHyphen/>
        <w:t>risk, most informative steps. An analytical estimate suggests that A1, A3, and C1 together could raise the 135M</w:t>
        <w:noBreakHyphen/>
        <w:t>Q4 configuration from 4.13 to approximately 7–9 tok/s without loss of output quality; this figure is a projection and not a measured result, and its realisation depends on the frequency achievable under renewed timing closure. The single most important measurement outstanding is electrical power, without which the project's central efficiency hypothesis cannot be quantitatively concluded.</w:t>
      </w:r>
    </w:p>
    <w:p>
      <w:pPr>
        <w:pStyle w:val="HorizontalLine"/>
        <w:bidi w:val="0"/>
        <w:jc w:val="left"/>
        <w:rPr/>
      </w:pPr>
      <w:r>
        <w:rPr/>
      </w:r>
    </w:p>
    <w:p>
      <w:pPr>
        <w:pStyle w:val="Heading1chapter"/>
        <w:bidi w:val="0"/>
        <w:jc w:val="left"/>
        <w:rPr/>
      </w:pPr>
      <w:r>
        <w:rPr/>
        <w:t>Chapter 8 — Conclusion</w:t>
      </w:r>
    </w:p>
    <w:p>
      <w:pPr>
        <w:pStyle w:val="Heading2"/>
        <w:bidi w:val="0"/>
        <w:jc w:val="left"/>
        <w:rPr/>
      </w:pPr>
      <w:r>
        <w:rPr/>
        <w:t>8.1 Summary of Achievements</w:t>
      </w:r>
    </w:p>
    <w:p>
      <w:pPr>
        <w:pStyle w:val="BodyText"/>
        <w:bidi w:val="0"/>
        <w:rPr/>
      </w:pPr>
      <w:r>
        <w:rPr/>
        <w:t>This project successfully mapped the open</w:t>
        <w:noBreakHyphen/>
        <w:t>source ztachip AI accelerator and its VexRiscv host processor onto the Xilinx Zynq</w:t>
        <w:noBreakHyphen/>
        <w:t>7000 (ZC702) platform, with the ARM Processing System restricted to memory and clock provision, and brought up end</w:t>
        <w:noBreakHyphen/>
        <w:t>to</w:t>
        <w:noBreakHyphen/>
        <w:t>end transformer LLM inference on the device. The work delivered: a timing</w:t>
        <w:noBreakHyphen/>
        <w:t>closed integration at an exact 2:1 clock ratio; a two</w:t>
        <w:noBreakHyphen/>
        <w:t>stage boot and a JTAG/DDR mailbox console that overcame platform</w:t>
        <w:noBreakHyphen/>
        <w:t>specific constraints; the diagnosis and elimination of a silent misaligned</w:t>
        <w:noBreakHyphen/>
        <w:t>load fault that had prevented model loading; an on</w:t>
        <w:noBreakHyphen/>
        <w:t>silicon verification establishing the bit</w:t>
        <w:noBreakHyphen/>
        <w:t>exact correctness of all eleven LLM compute kernels; and an instrumented performance characterisation that demonstrates, through two independent experiments, that the system is memory</w:t>
        <w:noBreakHyphen/>
        <w:t>bandwidth</w:t>
        <w:noBreakHyphen/>
        <w:t>bound at a sustained 426–520 MB/s.</w:t>
      </w:r>
    </w:p>
    <w:p>
      <w:pPr>
        <w:pStyle w:val="Heading2"/>
        <w:bidi w:val="0"/>
        <w:jc w:val="left"/>
        <w:rPr/>
      </w:pPr>
      <w:r>
        <w:rPr/>
        <w:t>8.2 Concluding Remarks</w:t>
      </w:r>
    </w:p>
    <w:p>
      <w:pPr>
        <w:pStyle w:val="BodyText"/>
        <w:bidi w:val="0"/>
        <w:rPr/>
      </w:pPr>
      <w:r>
        <w:rPr/>
        <w:t>The results show that a transformer LLM can be executed on an inexpensive, resource</w:t>
        <w:noBreakHyphen/>
        <w:t>constrained FPGA using an unmodified accelerator core, and that its performance on this platform is governed by memory movement rather than arithmetic. This understanding both explains the observed throughput and prescribes the path to improving it. The principal remaining work is the measurement of electrical power, which would permit the project's efficiency proposition to be evaluated against GPU baselines on the metric for which a low</w:t>
        <w:noBreakHyphen/>
        <w:t>frequency FPGA is best suited: energy per token.</w:t>
      </w:r>
    </w:p>
    <w:p>
      <w:pPr>
        <w:pStyle w:val="HorizontalLine"/>
        <w:bidi w:val="0"/>
        <w:jc w:val="left"/>
        <w:rPr/>
      </w:pPr>
      <w:r>
        <w:rPr/>
      </w:r>
    </w:p>
    <w:p>
      <w:pPr>
        <w:pStyle w:val="Heading1chapter"/>
        <w:bidi w:val="0"/>
        <w:jc w:val="left"/>
        <w:rPr/>
      </w:pPr>
      <w:r>
        <w:rPr/>
        <w:t>References</w:t>
      </w:r>
    </w:p>
    <w:p>
      <w:pPr>
        <w:pStyle w:val="BodyText"/>
        <w:bidi w:val="0"/>
        <w:rPr/>
      </w:pPr>
      <w:r>
        <w:rPr/>
        <w:t>[1] ztachip: an open</w:t>
        <w:noBreakHyphen/>
        <w:t>source RISC</w:t>
        <w:noBreakHyphen/>
        <w:t>V AI/vision accelerator. Source repository and documentation. (Open</w:t>
        <w:noBreakHyphen/>
        <w:t>source project.)</w:t>
      </w:r>
    </w:p>
    <w:p>
      <w:pPr>
        <w:pStyle w:val="BodyText"/>
        <w:bidi w:val="0"/>
        <w:rPr/>
      </w:pPr>
      <w:r>
        <w:rPr/>
        <w:t xml:space="preserve">[2] A. Vaswani, N. Shazeer, N. Parmar, J. Uszkoreit, L. Jones, A. N. Gomez, Ł. Kaiser, and I. Polosukhin, "Attention Is All You Need," in </w:t>
      </w:r>
      <w:r>
        <w:rPr>
          <w:rStyle w:val="Emphasis"/>
        </w:rPr>
        <w:t>Advances in Neural Information Processing Systems (NeurIPS)</w:t>
      </w:r>
      <w:r>
        <w:rPr/>
        <w:t>, 2017.</w:t>
      </w:r>
    </w:p>
    <w:p>
      <w:pPr>
        <w:pStyle w:val="BodyText"/>
        <w:bidi w:val="0"/>
        <w:rPr/>
      </w:pPr>
      <w:r>
        <w:rPr/>
        <w:t>[3] H. Touvron et al., "LLaMA: Open and Efficient Foundation Language Models," arXiv:2302.13971, 2023.</w:t>
      </w:r>
    </w:p>
    <w:p>
      <w:pPr>
        <w:pStyle w:val="BodyText"/>
        <w:bidi w:val="0"/>
        <w:rPr/>
      </w:pPr>
      <w:r>
        <w:rPr/>
        <w:t>[4] L. Ben Allal et al., "SmolLM2: Compact Instruction</w:t>
        <w:noBreakHyphen/>
        <w:t>Tuned Language Models," Hugging Face, 2024.</w:t>
      </w:r>
    </w:p>
    <w:p>
      <w:pPr>
        <w:pStyle w:val="BodyText"/>
        <w:bidi w:val="0"/>
        <w:rPr/>
      </w:pPr>
      <w:r>
        <w:rPr/>
        <w:t>[5] G. Gerganov et al., "GGUF / llama.cpp: LLM inference and quantisation formats," open</w:t>
        <w:noBreakHyphen/>
        <w:t>source project.</w:t>
      </w:r>
    </w:p>
    <w:p>
      <w:pPr>
        <w:pStyle w:val="BodyText"/>
        <w:bidi w:val="0"/>
        <w:rPr/>
      </w:pPr>
      <w:r>
        <w:rPr/>
        <w:t xml:space="preserve">[6] Xilinx, Inc., </w:t>
      </w:r>
      <w:r>
        <w:rPr>
          <w:rStyle w:val="Emphasis"/>
        </w:rPr>
        <w:t>Zynq</w:t>
        <w:noBreakHyphen/>
        <w:t>7000 SoC Technical Reference Manual (UG585)</w:t>
      </w:r>
      <w:r>
        <w:rPr/>
        <w:t>.</w:t>
      </w:r>
    </w:p>
    <w:p>
      <w:pPr>
        <w:pStyle w:val="BodyText"/>
        <w:bidi w:val="0"/>
        <w:rPr/>
      </w:pPr>
      <w:r>
        <w:rPr/>
        <w:t xml:space="preserve">[7] Xilinx, Inc., </w:t>
      </w:r>
      <w:r>
        <w:rPr>
          <w:rStyle w:val="Emphasis"/>
        </w:rPr>
        <w:t>ZC702 Evaluation Board for the Zynq</w:t>
        <w:noBreakHyphen/>
        <w:t>7000 XC7Z020 (UG850)</w:t>
      </w:r>
      <w:r>
        <w:rPr/>
        <w:t>.</w:t>
      </w:r>
    </w:p>
    <w:p>
      <w:pPr>
        <w:pStyle w:val="BodyText"/>
        <w:bidi w:val="0"/>
        <w:rPr/>
      </w:pPr>
      <w:r>
        <w:rPr/>
        <w:t xml:space="preserve">[8] C. Papon et al., </w:t>
      </w:r>
      <w:r>
        <w:rPr>
          <w:rStyle w:val="Emphasis"/>
        </w:rPr>
        <w:t>VexRiscv: a 32</w:t>
        <w:noBreakHyphen/>
        <w:t>bit RISC</w:t>
        <w:noBreakHyphen/>
        <w:t>V CPU implemented in SpinalHDL</w:t>
      </w:r>
      <w:r>
        <w:rPr/>
        <w:t>, open</w:t>
        <w:noBreakHyphen/>
        <w:t>source project.</w:t>
      </w:r>
    </w:p>
    <w:p>
      <w:pPr>
        <w:pStyle w:val="BodyText"/>
        <w:bidi w:val="0"/>
        <w:rPr/>
      </w:pPr>
      <w:r>
        <w:rPr/>
        <w:t xml:space="preserve">[9] A. Waterman and K. Asanović (eds.), </w:t>
      </w:r>
      <w:r>
        <w:rPr>
          <w:rStyle w:val="Emphasis"/>
        </w:rPr>
        <w:t>The RISC</w:t>
        <w:noBreakHyphen/>
        <w:t>V Instruction Set Manual, Volume I: Unprivileged ISA</w:t>
      </w:r>
      <w:r>
        <w:rPr/>
        <w:t>.</w:t>
      </w:r>
    </w:p>
    <w:p>
      <w:pPr>
        <w:pStyle w:val="BodyText"/>
        <w:bidi w:val="0"/>
        <w:rPr/>
      </w:pPr>
      <w:r>
        <w:rPr/>
        <w:t xml:space="preserve">[10] Xilinx, Inc., </w:t>
      </w:r>
      <w:r>
        <w:rPr>
          <w:rStyle w:val="Emphasis"/>
        </w:rPr>
        <w:t>UltraFast Design Methodology Guide (UG949)</w:t>
      </w:r>
      <w:r>
        <w:rPr/>
        <w:t xml:space="preserve"> — static timing analysis and clocking.</w:t>
      </w:r>
    </w:p>
    <w:p>
      <w:pPr>
        <w:pStyle w:val="HorizontalLine"/>
        <w:bidi w:val="0"/>
        <w:jc w:val="left"/>
        <w:rPr/>
      </w:pPr>
      <w:r>
        <w:rPr/>
      </w:r>
    </w:p>
    <w:p>
      <w:pPr>
        <w:pStyle w:val="Heading1chapter"/>
        <w:bidi w:val="0"/>
        <w:jc w:val="left"/>
        <w:rPr/>
      </w:pPr>
      <w:r>
        <w:rPr/>
        <w:t>Appendix A — Timing</w:t>
        <w:noBreakHyphen/>
        <w:t>Closure Analysis</w:t>
      </w:r>
    </w:p>
    <w:p>
      <w:pPr>
        <w:pStyle w:val="BodyText"/>
        <w:bidi w:val="0"/>
        <w:rPr/>
      </w:pPr>
      <w:r>
        <w:rPr>
          <w:rStyle w:val="Strong"/>
        </w:rPr>
        <w:t>A.1 Frequency selection.</w:t>
      </w:r>
      <w:r>
        <w:rPr/>
        <w:t xml:space="preserve"> Because Zynq FCLKs are integer divisions of a 1500 MHz PLL, an exact </w:t>
      </w:r>
      <w:r>
        <w:rPr>
          <w:rStyle w:val="SourceText"/>
        </w:rPr>
        <w:t>clk_x2 = 2 × clk_main</w:t>
      </w:r>
      <w:r>
        <w:rPr/>
        <w:t xml:space="preserve"> relationship requires both frequencies to have integral divisors. The pair 93.75 MHz (1500/16) and 187.5 MHz (1500/8) is the highest exact</w:t>
        <w:noBreakHyphen/>
        <w:t>ratio pair below 100 MHz.</w:t>
      </w:r>
    </w:p>
    <w:p>
      <w:pPr>
        <w:pStyle w:val="BodyText"/>
        <w:bidi w:val="0"/>
        <w:rPr/>
      </w:pPr>
      <w:r>
        <w:rPr>
          <w:rStyle w:val="Strong"/>
        </w:rPr>
        <w:t>A.2 The hold</w:t>
        <w:noBreakHyphen/>
        <w:t>violation mechanism.</w:t>
      </w:r>
      <w:r>
        <w:rPr/>
        <w:t xml:space="preserve"> With the two clocks taken from independent PS outputs, their clock trees shared no common node; the static</w:t>
        <w:noBreakHyphen/>
        <w:t>timing analyser could not apply clock</w:t>
        <w:noBreakHyphen/>
        <w:t>reconvergence pessimism removal (CRPR), so the full clock uncertainty was charged against the hold check, producing three hold violations. Hold is evaluated on the same clock edge at launch and capture flip</w:t>
        <w:noBreakHyphen/>
        <w:t xml:space="preserve">flops and therefore </w:t>
      </w:r>
      <w:r>
        <w:rPr>
          <w:rStyle w:val="Emphasis"/>
        </w:rPr>
        <w:t>cannot</w:t>
      </w:r>
      <w:r>
        <w:rPr/>
        <w:t xml:space="preserve"> be corrected by lowering the clock frequency.</w:t>
      </w:r>
    </w:p>
    <w:p>
      <w:pPr>
        <w:pStyle w:val="BodyText"/>
        <w:bidi w:val="0"/>
        <w:rPr/>
      </w:pPr>
      <w:r>
        <w:rPr>
          <w:rStyle w:val="Strong"/>
        </w:rPr>
        <w:t>A.3 Resolution.</w:t>
      </w:r>
      <w:r>
        <w:rPr/>
        <w:t xml:space="preserve"> A single PS clock was routed into an MMCM that generates both </w:t>
      </w:r>
      <w:r>
        <w:rPr>
          <w:rStyle w:val="SourceText"/>
        </w:rPr>
        <w:t>clk_main</w:t>
      </w:r>
      <w:r>
        <w:rPr/>
        <w:t xml:space="preserve"> and </w:t>
      </w:r>
      <w:r>
        <w:rPr>
          <w:rStyle w:val="SourceText"/>
        </w:rPr>
        <w:t>clk_x2</w:t>
      </w:r>
      <w:r>
        <w:rPr/>
        <w:t xml:space="preserve"> from a common node, restoring CRPR credit; an input</w:t>
        <w:noBreakHyphen/>
        <w:t>jitter</w:t>
        <w:noBreakHyphen/>
        <w:t>constraint refinement removed the residual deficit. The design then closed with worst negative slack 0.000 ns and worst hold slack +0.009 ns. Raising the memory</w:t>
        <w:noBreakHyphen/>
        <w:t>port frequency in Track A1 (Chapter 7) will reopen this analysis.</w:t>
      </w:r>
    </w:p>
    <w:p>
      <w:pPr>
        <w:pStyle w:val="Heading1chapter"/>
        <w:bidi w:val="0"/>
        <w:jc w:val="left"/>
        <w:rPr/>
      </w:pPr>
      <w:r>
        <w:rPr/>
        <w:t>Appendix B — Reproduction Procedures</w:t>
      </w:r>
    </w:p>
    <w:p>
      <w:pPr>
        <w:pStyle w:val="BodyText"/>
        <w:bidi w:val="0"/>
        <w:rPr/>
      </w:pPr>
      <w:r>
        <w:rPr/>
        <w:t xml:space="preserve">All scripts reside under </w:t>
      </w:r>
      <w:r>
        <w:rPr>
          <w:rStyle w:val="SourceText"/>
        </w:rPr>
        <w:t>HW/examples/ZC702/</w:t>
      </w:r>
      <w:r>
        <w:rPr/>
        <w:t xml:space="preserve"> and are invoked as </w:t>
      </w:r>
      <w:r>
        <w:rPr>
          <w:rStyle w:val="SourceText"/>
        </w:rPr>
        <w:t>bash &lt;script&gt;</w:t>
      </w:r>
      <w:r>
        <w:rPr/>
        <w:t>. The board is power</w:t>
        <w:noBreakHyphen/>
        <w:t>cycled before each fresh run.</w:t>
      </w:r>
    </w:p>
    <w:p>
      <w:pPr>
        <w:pStyle w:val="BodyText"/>
        <w:numPr>
          <w:ilvl w:val="0"/>
          <w:numId w:val="18"/>
        </w:numPr>
        <w:tabs>
          <w:tab w:val="clear" w:pos="1134"/>
          <w:tab w:val="left" w:pos="709" w:leader="none"/>
        </w:tabs>
        <w:bidi w:val="0"/>
        <w:ind w:hanging="283" w:left="709"/>
        <w:rPr/>
      </w:pPr>
      <w:r>
        <w:rPr>
          <w:rStyle w:val="Strong"/>
        </w:rPr>
        <w:t>Kernel verification (Chapter 5):</w:t>
      </w:r>
      <w:r>
        <w:rPr/>
        <w:t xml:space="preserve"> </w:t>
      </w:r>
      <w:r>
        <w:rPr>
          <w:rStyle w:val="SourceText"/>
        </w:rPr>
        <w:t>run_kernel_test.sh</w:t>
      </w:r>
      <w:r>
        <w:rPr/>
        <w:t xml:space="preserve"> — programs the bitstream, loads the </w:t>
      </w:r>
    </w:p>
    <w:p>
      <w:pPr>
        <w:pStyle w:val="BodyText"/>
        <w:bidi w:val="0"/>
        <w:rPr/>
      </w:pPr>
      <w:r>
        <w:rPr/>
        <w:t>lean kernel</w:t>
        <w:noBreakHyphen/>
        <w:t xml:space="preserve">test firmware (no model), runs all kernels, and writes </w:t>
      </w:r>
      <w:r>
        <w:rPr>
          <w:rStyle w:val="SourceText"/>
        </w:rPr>
        <w:t>bench/results/kernel_selftest.log</w:t>
      </w:r>
      <w:r>
        <w:rPr/>
        <w:t>.</w:t>
      </w:r>
    </w:p>
    <w:p>
      <w:pPr>
        <w:pStyle w:val="BodyText"/>
        <w:numPr>
          <w:ilvl w:val="0"/>
          <w:numId w:val="19"/>
        </w:numPr>
        <w:tabs>
          <w:tab w:val="clear" w:pos="1134"/>
          <w:tab w:val="left" w:pos="709" w:leader="none"/>
        </w:tabs>
        <w:bidi w:val="0"/>
        <w:ind w:hanging="283" w:left="709"/>
        <w:rPr/>
      </w:pPr>
      <w:r>
        <w:rPr>
          <w:rStyle w:val="Strong"/>
        </w:rPr>
        <w:t>Cold bring</w:t>
        <w:noBreakHyphen/>
        <w:t>up and chatbot (Chapter 4):</w:t>
      </w:r>
      <w:r>
        <w:rPr/>
        <w:t xml:space="preserve"> </w:t>
      </w:r>
      <w:r>
        <w:rPr>
          <w:rStyle w:val="SourceText"/>
        </w:rPr>
        <w:t>run_board_day.sh</w:t>
      </w:r>
      <w:r>
        <w:rPr/>
        <w:t xml:space="preserve"> — programs the bitstream, loads a </w:t>
      </w:r>
    </w:p>
    <w:p>
      <w:pPr>
        <w:pStyle w:val="BodyText"/>
        <w:bidi w:val="0"/>
        <w:rPr/>
      </w:pPr>
      <w:r>
        <w:rPr/>
        <w:t>model and the firmware, and opens the mailbox console.</w:t>
      </w:r>
    </w:p>
    <w:p>
      <w:pPr>
        <w:pStyle w:val="BodyText"/>
        <w:numPr>
          <w:ilvl w:val="0"/>
          <w:numId w:val="20"/>
        </w:numPr>
        <w:tabs>
          <w:tab w:val="clear" w:pos="1134"/>
          <w:tab w:val="left" w:pos="709" w:leader="none"/>
        </w:tabs>
        <w:bidi w:val="0"/>
        <w:spacing w:before="0" w:after="0"/>
        <w:ind w:hanging="283" w:left="709"/>
        <w:rPr/>
      </w:pPr>
      <w:r>
        <w:rPr>
          <w:rStyle w:val="Strong"/>
        </w:rPr>
        <w:t>Resume console (model already resident):</w:t>
      </w:r>
      <w:r>
        <w:rPr/>
        <w:t xml:space="preserve"> </w:t>
      </w:r>
      <w:r>
        <w:rPr>
          <w:rStyle w:val="SourceText"/>
        </w:rPr>
        <w:t>run_resume_fw.sh</w:t>
      </w:r>
      <w:r>
        <w:rPr/>
        <w:t xml:space="preserve">. </w:t>
      </w:r>
    </w:p>
    <w:p>
      <w:pPr>
        <w:pStyle w:val="BodyText"/>
        <w:numPr>
          <w:ilvl w:val="0"/>
          <w:numId w:val="20"/>
        </w:numPr>
        <w:tabs>
          <w:tab w:val="clear" w:pos="1134"/>
          <w:tab w:val="left" w:pos="709" w:leader="none"/>
        </w:tabs>
        <w:bidi w:val="0"/>
        <w:ind w:hanging="283" w:left="709"/>
        <w:rPr/>
      </w:pPr>
      <w:r>
        <w:rPr>
          <w:rStyle w:val="Strong"/>
        </w:rPr>
        <w:t>Single</w:t>
        <w:noBreakHyphen/>
        <w:t>model benchmark (Chapter 6):</w:t>
      </w:r>
      <w:r>
        <w:rPr/>
        <w:t xml:space="preserve"> </w:t>
      </w:r>
      <w:r>
        <w:rPr>
          <w:rStyle w:val="SourceText"/>
        </w:rPr>
        <w:t>run_model.sh &lt;q4|q8|360m&gt;</w:t>
      </w:r>
      <w:r>
        <w:rPr/>
        <w:t xml:space="preserve"> — writes </w:t>
      </w:r>
    </w:p>
    <w:p>
      <w:pPr>
        <w:pStyle w:val="BodyText"/>
        <w:bidi w:val="0"/>
        <w:rPr/>
      </w:pPr>
      <w:r>
        <w:rPr>
          <w:rStyle w:val="SourceText"/>
        </w:rPr>
        <w:t>bench/results/results_&lt;tag&gt;.csv</w:t>
      </w:r>
      <w:r>
        <w:rPr/>
        <w:t>.</w:t>
      </w:r>
    </w:p>
    <w:p>
      <w:pPr>
        <w:pStyle w:val="BodyText"/>
        <w:numPr>
          <w:ilvl w:val="0"/>
          <w:numId w:val="21"/>
        </w:numPr>
        <w:tabs>
          <w:tab w:val="clear" w:pos="1134"/>
          <w:tab w:val="left" w:pos="709" w:leader="none"/>
        </w:tabs>
        <w:bidi w:val="0"/>
        <w:ind w:hanging="283" w:left="709"/>
        <w:rPr/>
      </w:pPr>
      <w:r>
        <w:rPr>
          <w:rStyle w:val="Strong"/>
        </w:rPr>
        <w:t>Aggregate the benchmark:</w:t>
      </w:r>
      <w:r>
        <w:rPr/>
        <w:t xml:space="preserve"> </w:t>
      </w:r>
      <w:r>
        <w:rPr>
          <w:rStyle w:val="SourceText"/>
        </w:rPr>
        <w:t>bench/summarize.py</w:t>
      </w:r>
      <w:r>
        <w:rPr/>
        <w:t xml:space="preserve"> — writes </w:t>
      </w:r>
      <w:r>
        <w:rPr>
          <w:rStyle w:val="SourceText"/>
        </w:rPr>
        <w:t>bench/results/comparison.md</w:t>
      </w:r>
      <w:r>
        <w:rPr/>
        <w:t xml:space="preserve">. </w:t>
      </w:r>
    </w:p>
    <w:p>
      <w:pPr>
        <w:pStyle w:val="BodyText"/>
        <w:bidi w:val="0"/>
        <w:rPr/>
      </w:pPr>
      <w:r>
        <w:rPr/>
        <w:t xml:space="preserve">Firmware build modes (in </w:t>
      </w:r>
      <w:r>
        <w:rPr>
          <w:rStyle w:val="SourceText"/>
        </w:rPr>
        <w:t>SW/makefile</w:t>
      </w:r>
      <w:r>
        <w:rPr/>
        <w:t xml:space="preserve">): </w:t>
      </w:r>
      <w:r>
        <w:rPr>
          <w:rStyle w:val="SourceText"/>
        </w:rPr>
        <w:t>LLM_TEST=yes</w:t>
      </w:r>
      <w:r>
        <w:rPr/>
        <w:t xml:space="preserve"> (chatbot, default), </w:t>
      </w:r>
      <w:r>
        <w:rPr>
          <w:rStyle w:val="SourceText"/>
        </w:rPr>
        <w:t>KERNEL_TEST=yes</w:t>
      </w:r>
      <w:r>
        <w:rPr/>
        <w:t xml:space="preserve"> (kernel self</w:t>
        <w:noBreakHyphen/>
        <w:t xml:space="preserve">test), </w:t>
      </w:r>
      <w:r>
        <w:rPr>
          <w:rStyle w:val="SourceText"/>
        </w:rPr>
        <w:t>UNIT_TEST=yes</w:t>
      </w:r>
      <w:r>
        <w:rPr/>
        <w:t xml:space="preserve"> (full suite).</w:t>
      </w:r>
    </w:p>
    <w:p>
      <w:pPr>
        <w:pStyle w:val="Heading1chapter"/>
        <w:bidi w:val="0"/>
        <w:jc w:val="left"/>
        <w:rPr/>
      </w:pPr>
      <w:r>
        <w:rPr/>
        <w:t>Appendix C — Consolidated Memory Map</w:t>
      </w:r>
    </w:p>
    <w:tbl>
      <w:tblPr>
        <w:tblW w:w="7869" w:type="dxa"/>
        <w:jc w:val="left"/>
        <w:tblInd w:w="0" w:type="dxa"/>
        <w:tblLayout w:type="fixed"/>
        <w:tblCellMar>
          <w:top w:w="28" w:type="dxa"/>
          <w:left w:w="28" w:type="dxa"/>
          <w:bottom w:w="28" w:type="dxa"/>
          <w:right w:w="28" w:type="dxa"/>
        </w:tblCellMar>
      </w:tblPr>
      <w:tblGrid>
        <w:gridCol w:w="2424"/>
        <w:gridCol w:w="4571"/>
        <w:gridCol w:w="874"/>
      </w:tblGrid>
      <w:tr>
        <w:trPr>
          <w:tblHeader w:val="true"/>
        </w:trPr>
        <w:tc>
          <w:tcPr>
            <w:tcW w:w="2424" w:type="dxa"/>
            <w:tcBorders/>
            <w:vAlign w:val="center"/>
          </w:tcPr>
          <w:p>
            <w:pPr>
              <w:pStyle w:val="TableHeading"/>
              <w:bidi w:val="0"/>
              <w:spacing w:before="0" w:after="283"/>
              <w:ind w:hanging="0" w:left="0" w:right="0"/>
              <w:jc w:val="left"/>
              <w:rPr/>
            </w:pPr>
            <w:r>
              <w:rPr/>
              <w:t>Address range</w:t>
            </w:r>
          </w:p>
        </w:tc>
        <w:tc>
          <w:tcPr>
            <w:tcW w:w="4571" w:type="dxa"/>
            <w:tcBorders/>
            <w:vAlign w:val="center"/>
          </w:tcPr>
          <w:p>
            <w:pPr>
              <w:pStyle w:val="TableHeading"/>
              <w:bidi w:val="0"/>
              <w:spacing w:before="0" w:after="283"/>
              <w:ind w:hanging="0" w:left="0" w:right="0"/>
              <w:jc w:val="left"/>
              <w:rPr/>
            </w:pPr>
            <w:r>
              <w:rPr/>
              <w:t>Contents</w:t>
            </w:r>
          </w:p>
        </w:tc>
        <w:tc>
          <w:tcPr>
            <w:tcW w:w="874" w:type="dxa"/>
            <w:tcBorders/>
            <w:vAlign w:val="center"/>
          </w:tcPr>
          <w:p>
            <w:pPr>
              <w:pStyle w:val="TableHeading"/>
              <w:bidi w:val="0"/>
              <w:spacing w:before="0" w:after="283"/>
              <w:ind w:hanging="0" w:left="0" w:right="0"/>
              <w:jc w:val="left"/>
              <w:rPr/>
            </w:pPr>
            <w:r>
              <w:rPr/>
              <w:t>Size</w:t>
            </w:r>
          </w:p>
        </w:tc>
      </w:tr>
      <w:tr>
        <w:trPr/>
        <w:tc>
          <w:tcPr>
            <w:tcW w:w="2424" w:type="dxa"/>
            <w:tcBorders/>
            <w:vAlign w:val="center"/>
          </w:tcPr>
          <w:p>
            <w:pPr>
              <w:pStyle w:val="TableContents"/>
              <w:bidi w:val="0"/>
              <w:spacing w:before="0" w:after="283"/>
              <w:ind w:hanging="0" w:left="0" w:right="0"/>
              <w:jc w:val="left"/>
              <w:rPr/>
            </w:pPr>
            <w:r>
              <w:rPr/>
              <w:t>0x00000000 – 0x00003FFF</w:t>
            </w:r>
          </w:p>
        </w:tc>
        <w:tc>
          <w:tcPr>
            <w:tcW w:w="4571" w:type="dxa"/>
            <w:tcBorders/>
            <w:vAlign w:val="center"/>
          </w:tcPr>
          <w:p>
            <w:pPr>
              <w:pStyle w:val="TableContents"/>
              <w:bidi w:val="0"/>
              <w:spacing w:before="0" w:after="283"/>
              <w:ind w:hanging="0" w:left="0" w:right="0"/>
              <w:jc w:val="left"/>
              <w:rPr/>
            </w:pPr>
            <w:r>
              <w:rPr/>
              <w:t>PL BRAM (TCM): stack / scratch</w:t>
            </w:r>
          </w:p>
        </w:tc>
        <w:tc>
          <w:tcPr>
            <w:tcW w:w="874" w:type="dxa"/>
            <w:tcBorders/>
            <w:vAlign w:val="center"/>
          </w:tcPr>
          <w:p>
            <w:pPr>
              <w:pStyle w:val="TableContents"/>
              <w:bidi w:val="0"/>
              <w:spacing w:before="0" w:after="283"/>
              <w:ind w:hanging="0" w:left="0" w:right="0"/>
              <w:jc w:val="left"/>
              <w:rPr/>
            </w:pPr>
            <w:r>
              <w:rPr/>
              <w:t>16 KB</w:t>
            </w:r>
          </w:p>
        </w:tc>
      </w:tr>
      <w:tr>
        <w:trPr/>
        <w:tc>
          <w:tcPr>
            <w:tcW w:w="2424" w:type="dxa"/>
            <w:tcBorders/>
            <w:vAlign w:val="center"/>
          </w:tcPr>
          <w:p>
            <w:pPr>
              <w:pStyle w:val="TableContents"/>
              <w:bidi w:val="0"/>
              <w:spacing w:before="0" w:after="283"/>
              <w:ind w:hanging="0" w:left="0" w:right="0"/>
              <w:jc w:val="left"/>
              <w:rPr/>
            </w:pPr>
            <w:r>
              <w:rPr/>
              <w:t>0x00004000 – 0x0003FFFF</w:t>
            </w:r>
          </w:p>
        </w:tc>
        <w:tc>
          <w:tcPr>
            <w:tcW w:w="4571" w:type="dxa"/>
            <w:tcBorders/>
            <w:vAlign w:val="center"/>
          </w:tcPr>
          <w:p>
            <w:pPr>
              <w:pStyle w:val="TableContents"/>
              <w:bidi w:val="0"/>
              <w:spacing w:before="0" w:after="283"/>
              <w:ind w:hanging="0" w:left="0" w:right="0"/>
              <w:jc w:val="left"/>
              <w:rPr/>
            </w:pPr>
            <w:r>
              <w:rPr/>
              <w:t>PS OCM (mapped low); firmware vector stub at 0x00004000</w:t>
            </w:r>
          </w:p>
        </w:tc>
        <w:tc>
          <w:tcPr>
            <w:tcW w:w="874" w:type="dxa"/>
            <w:tcBorders/>
            <w:vAlign w:val="center"/>
          </w:tcPr>
          <w:p>
            <w:pPr>
              <w:pStyle w:val="TableContents"/>
              <w:bidi w:val="0"/>
              <w:spacing w:before="0" w:after="283"/>
              <w:ind w:hanging="0" w:left="0" w:right="0"/>
              <w:jc w:val="left"/>
              <w:rPr/>
            </w:pPr>
            <w:r>
              <w:rPr/>
              <w:t>~240 KB</w:t>
            </w:r>
          </w:p>
        </w:tc>
      </w:tr>
      <w:tr>
        <w:trPr/>
        <w:tc>
          <w:tcPr>
            <w:tcW w:w="2424" w:type="dxa"/>
            <w:tcBorders/>
            <w:vAlign w:val="center"/>
          </w:tcPr>
          <w:p>
            <w:pPr>
              <w:pStyle w:val="TableContents"/>
              <w:bidi w:val="0"/>
              <w:spacing w:before="0" w:after="283"/>
              <w:ind w:hanging="0" w:left="0" w:right="0"/>
              <w:jc w:val="left"/>
              <w:rPr/>
            </w:pPr>
            <w:r>
              <w:rPr/>
              <w:t>0x00040000 – 0x000FFFFF</w:t>
            </w:r>
          </w:p>
        </w:tc>
        <w:tc>
          <w:tcPr>
            <w:tcW w:w="4571" w:type="dxa"/>
            <w:tcBorders/>
            <w:vAlign w:val="center"/>
          </w:tcPr>
          <w:p>
            <w:pPr>
              <w:pStyle w:val="TableContents"/>
              <w:bidi w:val="0"/>
              <w:spacing w:before="0" w:after="283"/>
              <w:ind w:hanging="0" w:left="0" w:right="0"/>
              <w:jc w:val="left"/>
              <w:rPr/>
            </w:pPr>
            <w:r>
              <w:rPr/>
              <w:t>Reserved region (not writable via debug)</w:t>
            </w:r>
          </w:p>
        </w:tc>
        <w:tc>
          <w:tcPr>
            <w:tcW w:w="874" w:type="dxa"/>
            <w:tcBorders/>
            <w:vAlign w:val="center"/>
          </w:tcPr>
          <w:p>
            <w:pPr>
              <w:pStyle w:val="TableContents"/>
              <w:bidi w:val="0"/>
              <w:spacing w:before="0" w:after="283"/>
              <w:ind w:hanging="0" w:left="0" w:right="0"/>
              <w:jc w:val="left"/>
              <w:rPr/>
            </w:pPr>
            <w:r>
              <w:rPr/>
              <w:t>~768 KB</w:t>
            </w:r>
          </w:p>
        </w:tc>
      </w:tr>
      <w:tr>
        <w:trPr/>
        <w:tc>
          <w:tcPr>
            <w:tcW w:w="2424" w:type="dxa"/>
            <w:tcBorders/>
            <w:vAlign w:val="center"/>
          </w:tcPr>
          <w:p>
            <w:pPr>
              <w:pStyle w:val="TableContents"/>
              <w:bidi w:val="0"/>
              <w:spacing w:before="0" w:after="283"/>
              <w:ind w:hanging="0" w:left="0" w:right="0"/>
              <w:jc w:val="left"/>
              <w:rPr/>
            </w:pPr>
            <w:r>
              <w:rPr/>
              <w:t>0x00100000 – 0x3FFFFFFF</w:t>
            </w:r>
          </w:p>
        </w:tc>
        <w:tc>
          <w:tcPr>
            <w:tcW w:w="4571" w:type="dxa"/>
            <w:tcBorders/>
            <w:vAlign w:val="center"/>
          </w:tcPr>
          <w:p>
            <w:pPr>
              <w:pStyle w:val="TableContents"/>
              <w:bidi w:val="0"/>
              <w:spacing w:before="0" w:after="283"/>
              <w:ind w:hanging="0" w:left="0" w:right="0"/>
              <w:jc w:val="left"/>
              <w:rPr/>
            </w:pPr>
            <w:r>
              <w:rPr/>
              <w:t>PS DDR (main memory)</w:t>
            </w:r>
          </w:p>
        </w:tc>
        <w:tc>
          <w:tcPr>
            <w:tcW w:w="874" w:type="dxa"/>
            <w:tcBorders/>
            <w:vAlign w:val="center"/>
          </w:tcPr>
          <w:p>
            <w:pPr>
              <w:pStyle w:val="TableContents"/>
              <w:bidi w:val="0"/>
              <w:spacing w:before="0" w:after="283"/>
              <w:ind w:hanging="0" w:left="0" w:right="0"/>
              <w:jc w:val="left"/>
              <w:rPr/>
            </w:pPr>
            <w:r>
              <w:rPr/>
              <w:t>~1 GB</w:t>
            </w:r>
          </w:p>
        </w:tc>
      </w:tr>
      <w:tr>
        <w:trPr/>
        <w:tc>
          <w:tcPr>
            <w:tcW w:w="2424" w:type="dxa"/>
            <w:tcBorders/>
            <w:vAlign w:val="center"/>
          </w:tcPr>
          <w:p>
            <w:pPr>
              <w:pStyle w:val="TableContents"/>
              <w:bidi w:val="0"/>
              <w:spacing w:before="0" w:after="283"/>
              <w:ind w:hanging="0" w:left="0" w:right="0"/>
              <w:jc w:val="left"/>
              <w:rPr/>
            </w:pPr>
            <w:r>
              <w:rPr/>
              <w:t xml:space="preserve">— </w:t>
            </w:r>
            <w:r>
              <w:rPr/>
              <w:t>0x00100000</w:t>
            </w:r>
          </w:p>
        </w:tc>
        <w:tc>
          <w:tcPr>
            <w:tcW w:w="4571" w:type="dxa"/>
            <w:tcBorders/>
            <w:vAlign w:val="center"/>
          </w:tcPr>
          <w:p>
            <w:pPr>
              <w:pStyle w:val="TableContents"/>
              <w:bidi w:val="0"/>
              <w:spacing w:before="0" w:after="283"/>
              <w:ind w:hanging="0" w:left="0" w:right="0"/>
              <w:jc w:val="left"/>
              <w:rPr/>
            </w:pPr>
            <w:r>
              <w:rPr/>
              <w:t>firmware main image</w:t>
            </w:r>
          </w:p>
        </w:tc>
        <w:tc>
          <w:tcPr>
            <w:tcW w:w="874" w:type="dxa"/>
            <w:tcBorders/>
            <w:vAlign w:val="center"/>
          </w:tcPr>
          <w:p>
            <w:pPr>
              <w:pStyle w:val="TableContents"/>
              <w:bidi w:val="0"/>
              <w:spacing w:before="0" w:after="283"/>
              <w:ind w:hanging="0" w:left="0" w:right="0"/>
              <w:jc w:val="left"/>
              <w:rPr/>
            </w:pPr>
            <w:r>
              <w:rPr/>
              <w:t>—</w:t>
            </w:r>
          </w:p>
        </w:tc>
      </w:tr>
      <w:tr>
        <w:trPr/>
        <w:tc>
          <w:tcPr>
            <w:tcW w:w="2424" w:type="dxa"/>
            <w:tcBorders/>
            <w:vAlign w:val="center"/>
          </w:tcPr>
          <w:p>
            <w:pPr>
              <w:pStyle w:val="TableContents"/>
              <w:bidi w:val="0"/>
              <w:spacing w:before="0" w:after="283"/>
              <w:ind w:hanging="0" w:left="0" w:right="0"/>
              <w:jc w:val="left"/>
              <w:rPr/>
            </w:pPr>
            <w:r>
              <w:rPr/>
              <w:t xml:space="preserve">— </w:t>
            </w:r>
            <w:r>
              <w:rPr/>
              <w:t>0x10000000</w:t>
            </w:r>
          </w:p>
        </w:tc>
        <w:tc>
          <w:tcPr>
            <w:tcW w:w="4571" w:type="dxa"/>
            <w:tcBorders/>
            <w:vAlign w:val="center"/>
          </w:tcPr>
          <w:p>
            <w:pPr>
              <w:pStyle w:val="TableContents"/>
              <w:bidi w:val="0"/>
              <w:spacing w:before="0" w:after="283"/>
              <w:ind w:hanging="0" w:left="0" w:right="0"/>
              <w:jc w:val="left"/>
              <w:rPr/>
            </w:pPr>
            <w:r>
              <w:rPr/>
              <w:t xml:space="preserve">model file (ZUF); marker </w:t>
            </w:r>
            <w:r>
              <w:rPr>
                <w:rStyle w:val="SourceText"/>
              </w:rPr>
              <w:t>"ZTAC"</w:t>
            </w:r>
          </w:p>
        </w:tc>
        <w:tc>
          <w:tcPr>
            <w:tcW w:w="874" w:type="dxa"/>
            <w:tcBorders/>
            <w:vAlign w:val="center"/>
          </w:tcPr>
          <w:p>
            <w:pPr>
              <w:pStyle w:val="TableContents"/>
              <w:bidi w:val="0"/>
              <w:spacing w:before="0" w:after="283"/>
              <w:ind w:hanging="0" w:left="0" w:right="0"/>
              <w:jc w:val="left"/>
              <w:rPr/>
            </w:pPr>
            <w:r>
              <w:rPr/>
              <w:t>—</w:t>
            </w:r>
          </w:p>
        </w:tc>
      </w:tr>
      <w:tr>
        <w:trPr/>
        <w:tc>
          <w:tcPr>
            <w:tcW w:w="2424" w:type="dxa"/>
            <w:tcBorders/>
            <w:vAlign w:val="center"/>
          </w:tcPr>
          <w:p>
            <w:pPr>
              <w:pStyle w:val="TableContents"/>
              <w:bidi w:val="0"/>
              <w:spacing w:before="0" w:after="283"/>
              <w:ind w:hanging="0" w:left="0" w:right="0"/>
              <w:jc w:val="left"/>
              <w:rPr/>
            </w:pPr>
            <w:r>
              <w:rPr/>
              <w:t xml:space="preserve">— </w:t>
            </w:r>
            <w:r>
              <w:rPr/>
              <w:t>0x30000000</w:t>
            </w:r>
          </w:p>
        </w:tc>
        <w:tc>
          <w:tcPr>
            <w:tcW w:w="4571" w:type="dxa"/>
            <w:tcBorders/>
            <w:vAlign w:val="center"/>
          </w:tcPr>
          <w:p>
            <w:pPr>
              <w:pStyle w:val="TableContents"/>
              <w:bidi w:val="0"/>
              <w:spacing w:before="0" w:after="283"/>
              <w:ind w:hanging="0" w:left="0" w:right="0"/>
              <w:jc w:val="left"/>
              <w:rPr/>
            </w:pPr>
            <w:r>
              <w:rPr/>
              <w:t xml:space="preserve">mailbox console; marker </w:t>
            </w:r>
            <w:r>
              <w:rPr>
                <w:rStyle w:val="SourceText"/>
              </w:rPr>
              <w:t>"ZTCH"</w:t>
            </w:r>
          </w:p>
        </w:tc>
        <w:tc>
          <w:tcPr>
            <w:tcW w:w="874" w:type="dxa"/>
            <w:tcBorders/>
            <w:vAlign w:val="center"/>
          </w:tcPr>
          <w:p>
            <w:pPr>
              <w:pStyle w:val="TableContents"/>
              <w:bidi w:val="0"/>
              <w:spacing w:before="0" w:after="283"/>
              <w:jc w:val="left"/>
              <w:rPr/>
            </w:pPr>
            <w:r>
              <w:rPr/>
              <w:t>—</w:t>
            </w:r>
          </w:p>
        </w:tc>
      </w:tr>
    </w:tbl>
    <w:p>
      <w:pPr>
        <w:pStyle w:val="HorizontalLine"/>
        <w:bidi w:val="0"/>
        <w:jc w:val="left"/>
        <w:rPr/>
      </w:pPr>
      <w:r>
        <w:rPr/>
      </w:r>
    </w:p>
    <w:p>
      <w:pPr>
        <w:pStyle w:val="BodyText"/>
        <w:bidi w:val="0"/>
        <w:spacing w:before="0" w:after="283"/>
        <w:rPr/>
      </w:pPr>
      <w:r>
        <w:rPr>
          <w:rStyle w:val="Emphasis"/>
        </w:rPr>
        <w:t>End of report.</w:t>
      </w:r>
    </w:p>
    <w:sectPr>
      <w:type w:val="nextPage"/>
      <w:pgSz w:w="11906" w:h="16838"/>
      <w:pgMar w:left="1247" w:right="1247" w:gutter="0" w:header="0" w:top="1417" w:footer="0" w:bottom="1417"/>
      <w:pgNumType w:fmt="decimal"/>
      <w:formProt w:val="false"/>
      <w:textDirection w:val="lrTb"/>
      <w:docGrid w:type="default" w:linePitch="600" w:charSpace="34815"/>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auto"/>
    <w:pitch w:val="default"/>
  </w:font>
  <w:font w:name="Noto Sans">
    <w:charset w:val="01"/>
    <w:family w:val="auto"/>
    <w:pitch w:val="variable"/>
  </w:font>
  <w:font w:name="Liberation Mono">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Liberation Serif;Times New Roman;serif" w:hAnsi="Liberation Serif;Times New Roman;serif" w:eastAsia="Liberation Serif;Times New Roman;serif" w:cs="Liberation Serif;Times New Roman;serif"/>
      <w:color w:val="111111"/>
      <w:sz w:val="23"/>
      <w:szCs w:val="23"/>
      <w:lang w:val="en-US" w:eastAsia="zh-CN" w:bidi="hi-IN"/>
    </w:rPr>
  </w:style>
  <w:style w:type="paragraph" w:styleId="Heading1">
    <w:name w:val="Heading 1"/>
    <w:basedOn w:val="Heading"/>
    <w:next w:val="BodyText"/>
    <w:qFormat/>
    <w:pPr/>
    <w:rPr>
      <w:rFonts w:ascii="Noto Sans" w:hAnsi="Noto Sans"/>
      <w:b/>
      <w:bCs/>
      <w:sz w:val="32"/>
      <w:szCs w:val="32"/>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27"/>
      <w:szCs w:val="27"/>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Courier New;monospace" w:hAnsi="Liberation Mono;Courier New;monospace" w:eastAsia="Liberation Mono;Courier New;monospace" w:cs="Liberation Mono;Courier New;monospace"/>
      <w:sz w:val="20"/>
      <w:szCs w:val="20"/>
      <w:shd w:fill="F0F0F0" w:val="clear"/>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Heading1doctitle">
    <w:name w:val="Heading 1.doctitle"/>
    <w:basedOn w:val="Heading1"/>
    <w:qFormat/>
    <w:pPr>
      <w:spacing w:lineRule="auto" w:line="312"/>
      <w:jc w:val="center"/>
    </w:pPr>
    <w:rPr>
      <w:sz w:val="38"/>
      <w:szCs w:val="38"/>
    </w:rPr>
  </w:style>
  <w:style w:type="paragraph" w:styleId="Heading1chapter">
    <w:name w:val="Heading 1.chapter"/>
    <w:basedOn w:val="Heading1"/>
    <w:qFormat/>
    <w:pPr>
      <w:pageBreakBefore/>
      <w:pBdr>
        <w:bottom w:val="single" w:sz="12" w:space="3" w:color="333333"/>
      </w:pBdr>
    </w:pPr>
    <w:rPr>
      <w:sz w:val="32"/>
      <w:szCs w:val="32"/>
    </w:rPr>
  </w:style>
  <w:style w:type="paragraph" w:styleId="BlockQuotation">
    <w:name w:val="Block Quotation"/>
    <w:basedOn w:val="Normal"/>
    <w:qFormat/>
    <w:pPr>
      <w:pBdr>
        <w:left w:val="single" w:sz="18" w:space="1" w:color="999999"/>
      </w:pBdr>
      <w:spacing w:before="0" w:after="283"/>
      <w:ind w:hanging="0" w:left="567" w:right="567"/>
    </w:pPr>
    <w:rPr>
      <w:i/>
      <w:iCs/>
      <w:color w:val="333333"/>
    </w:rPr>
  </w:style>
  <w:style w:type="paragraph" w:styleId="TableHeading">
    <w:name w:val="Table Heading"/>
    <w:basedOn w:val="TableContents"/>
    <w:qFormat/>
    <w:pPr>
      <w:suppressLineNumbers/>
      <w:shd w:fill="E8E8E8" w:val="clear"/>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Mapping and Execution of the ztachip AI Accelerator on the Xilinx Zynq-7000 (ZC702)</dc:title>
</cp:coreProperties>
</file>

<file path=docProps/custom.xml><?xml version="1.0" encoding="utf-8"?>
<Properties xmlns="http://schemas.openxmlformats.org/officeDocument/2006/custom-properties" xmlns:vt="http://schemas.openxmlformats.org/officeDocument/2006/docPropsVTypes"/>
</file>