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center"/>
      </w:pPr>
      <w:r>
        <w:rPr>
          <w:rFonts w:ascii="Calibri" w:hAnsi="Calibri"/>
          <w:b/>
          <w:color w:val="0F172A"/>
          <w:sz w:val="48"/>
        </w:rPr>
        <w:t>Software Requirements Specification (SRS)</w:t>
      </w:r>
    </w:p>
    <w:p>
      <w:pPr>
        <w:spacing w:after="480"/>
        <w:jc w:val="center"/>
      </w:pPr>
      <w:r>
        <w:rPr>
          <w:rFonts w:ascii="Calibri" w:hAnsi="Calibri"/>
          <w:i/>
          <w:color w:val="64748B"/>
          <w:sz w:val="26"/>
        </w:rPr>
        <w:t>HelloQ AI Support Assistant — Autonomous RAG &amp; Agentic Support System</w:t>
      </w:r>
    </w:p>
    <w:tbl>
      <w:tblPr>
        <w:tblW w:type="auto" w:w="0"/>
        <w:jc w:val="center"/>
        <w:tblLook w:firstColumn="1" w:firstRow="1" w:lastColumn="0" w:lastRow="0" w:noHBand="0" w:noVBand="1" w:val="04A0"/>
      </w:tblPr>
      <w:tblGrid>
        <w:gridCol w:w="4680"/>
        <w:gridCol w:w="4680"/>
      </w:tblGrid>
      <w:tr>
        <w:tc>
          <w:tcPr>
            <w:tcW w:type="dxa" w:w="3168"/>
            <w:shd w:fill="F8FAFC"/>
            <w:tcMar>
              <w:top w:w="80" w:type="dxa"/>
              <w:bottom w:w="80" w:type="dxa"/>
              <w:left w:w="120" w:type="dxa"/>
              <w:right w:w="120" w:type="dxa"/>
            </w:tcMar>
          </w:tcPr>
          <w:p>
            <w:pPr>
              <w:spacing w:after="0"/>
            </w:pPr>
            <w:r>
              <w:rPr>
                <w:b/>
                <w:color w:val="0F172A"/>
                <w:sz w:val="20"/>
              </w:rPr>
              <w:t>Project Name:</w:t>
            </w:r>
          </w:p>
        </w:tc>
        <w:tc>
          <w:tcPr>
            <w:tcW w:type="dxa" w:w="6192"/>
            <w:tcMar>
              <w:top w:w="80" w:type="dxa"/>
              <w:bottom w:w="80" w:type="dxa"/>
              <w:left w:w="120" w:type="dxa"/>
              <w:right w:w="120" w:type="dxa"/>
            </w:tcMar>
          </w:tcPr>
          <w:p>
            <w:pPr>
              <w:spacing w:after="0"/>
            </w:pPr>
            <w:r>
              <w:rPr>
                <w:sz w:val="20"/>
              </w:rPr>
              <w:t>HelloQ AI Support Assistant</w:t>
            </w:r>
          </w:p>
        </w:tc>
      </w:tr>
      <w:tr>
        <w:tc>
          <w:tcPr>
            <w:tcW w:type="dxa" w:w="3168"/>
            <w:shd w:fill="F8FAFC"/>
            <w:tcMar>
              <w:top w:w="80" w:type="dxa"/>
              <w:bottom w:w="80" w:type="dxa"/>
              <w:left w:w="120" w:type="dxa"/>
              <w:right w:w="120" w:type="dxa"/>
            </w:tcMar>
          </w:tcPr>
          <w:p>
            <w:pPr>
              <w:spacing w:after="0"/>
            </w:pPr>
            <w:r>
              <w:rPr>
                <w:b/>
                <w:color w:val="0F172A"/>
                <w:sz w:val="20"/>
              </w:rPr>
              <w:t>Target Domain:</w:t>
            </w:r>
          </w:p>
        </w:tc>
        <w:tc>
          <w:tcPr>
            <w:tcW w:type="dxa" w:w="6192"/>
            <w:tcMar>
              <w:top w:w="80" w:type="dxa"/>
              <w:bottom w:w="80" w:type="dxa"/>
              <w:left w:w="120" w:type="dxa"/>
              <w:right w:w="120" w:type="dxa"/>
            </w:tcMar>
          </w:tcPr>
          <w:p>
            <w:pPr>
              <w:spacing w:after="0"/>
            </w:pPr>
            <w:r>
              <w:rPr>
                <w:sz w:val="20"/>
              </w:rPr>
              <w:t>Inclusive LGBTQIA+ Social &amp; Dating Support Automation</w:t>
            </w:r>
          </w:p>
        </w:tc>
      </w:tr>
      <w:tr>
        <w:tc>
          <w:tcPr>
            <w:tcW w:type="dxa" w:w="3168"/>
            <w:shd w:fill="F8FAFC"/>
            <w:tcMar>
              <w:top w:w="80" w:type="dxa"/>
              <w:bottom w:w="80" w:type="dxa"/>
              <w:left w:w="120" w:type="dxa"/>
              <w:right w:w="120" w:type="dxa"/>
            </w:tcMar>
          </w:tcPr>
          <w:p>
            <w:pPr>
              <w:spacing w:after="0"/>
            </w:pPr>
            <w:r>
              <w:rPr>
                <w:b/>
                <w:color w:val="0F172A"/>
                <w:sz w:val="20"/>
              </w:rPr>
              <w:t>Primary Model &amp; Stack:</w:t>
            </w:r>
          </w:p>
        </w:tc>
        <w:tc>
          <w:tcPr>
            <w:tcW w:type="dxa" w:w="6192"/>
            <w:tcMar>
              <w:top w:w="80" w:type="dxa"/>
              <w:bottom w:w="80" w:type="dxa"/>
              <w:left w:w="120" w:type="dxa"/>
              <w:right w:w="120" w:type="dxa"/>
            </w:tcMar>
          </w:tcPr>
          <w:p>
            <w:pPr>
              <w:spacing w:after="0"/>
            </w:pPr>
            <w:r>
              <w:rPr>
                <w:sz w:val="20"/>
              </w:rPr>
              <w:t>Google Gemini 2.5 Flash | Project Anti-Gravity IDE</w:t>
            </w:r>
          </w:p>
        </w:tc>
      </w:tr>
      <w:tr>
        <w:tc>
          <w:tcPr>
            <w:tcW w:type="dxa" w:w="3168"/>
            <w:shd w:fill="F8FAFC"/>
            <w:tcMar>
              <w:top w:w="80" w:type="dxa"/>
              <w:bottom w:w="80" w:type="dxa"/>
              <w:left w:w="120" w:type="dxa"/>
              <w:right w:w="120" w:type="dxa"/>
            </w:tcMar>
          </w:tcPr>
          <w:p>
            <w:pPr>
              <w:spacing w:after="0"/>
            </w:pPr>
            <w:r>
              <w:rPr>
                <w:b/>
                <w:color w:val="0F172A"/>
                <w:sz w:val="20"/>
              </w:rPr>
              <w:t>Date &amp; Document Version:</w:t>
            </w:r>
          </w:p>
        </w:tc>
        <w:tc>
          <w:tcPr>
            <w:tcW w:type="dxa" w:w="6192"/>
            <w:tcMar>
              <w:top w:w="80" w:type="dxa"/>
              <w:bottom w:w="80" w:type="dxa"/>
              <w:left w:w="120" w:type="dxa"/>
              <w:right w:w="120" w:type="dxa"/>
            </w:tcMar>
          </w:tcPr>
          <w:p>
            <w:pPr>
              <w:spacing w:after="0"/>
            </w:pPr>
            <w:r>
              <w:rPr>
                <w:sz w:val="20"/>
              </w:rPr>
              <w:t>October 2026 | Version 1.0 (Draft)</w:t>
            </w:r>
          </w:p>
        </w:tc>
      </w:tr>
    </w:tbl>
    <w:p/>
    <w:p>
      <w:pPr>
        <w:keepNext/>
        <w:spacing w:before="360" w:after="120"/>
      </w:pPr>
      <w:r>
        <w:rPr>
          <w:rFonts w:ascii="Calibri" w:hAnsi="Calibri"/>
          <w:b/>
          <w:color w:val="0F172A"/>
          <w:sz w:val="32"/>
        </w:rPr>
        <w:t>1. Abstract</w:t>
      </w:r>
    </w:p>
    <w:p>
      <w:r>
        <w:t>The HelloQ AI Support Assistant is an agentic, retrieval-augmented customer support system designed for HelloQ—an inclusive LGBTQIA+ dating, friendship, and networking platform. Traditional rule-based support chatbots frequently fail when handling nuanced user inquiries regarding granular privacy controls, custom gender identity preferences, and automated account management.</w:t>
      </w:r>
    </w:p>
    <w:p>
      <w:r>
        <w:t>This system implements a dual-mode engineering approach combining Retrieval-Augmented Generation (RAG) and Autonomous Agentic Tool Calling. Grounded in vector-indexed support documentation using ChromaDB and connected to mock backend API services via Google Gemini 2.5 Flash, the bot resolves both static navigation queries (e.g., UI paths for Discreet Mode or pronoun visibility) and dynamic transactional requests (e.g., verifying subscription state or restoring daily Super Likes) without false hallucinations.</w:t>
      </w:r>
    </w:p>
    <w:p>
      <w:pPr>
        <w:keepNext/>
        <w:spacing w:before="360" w:after="120"/>
      </w:pPr>
      <w:r>
        <w:rPr>
          <w:rFonts w:ascii="Calibri" w:hAnsi="Calibri"/>
          <w:b/>
          <w:color w:val="0F172A"/>
          <w:sz w:val="32"/>
        </w:rPr>
        <w:t>2. High-Level Architecture &amp; Workflow</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none"/>
              <w:left w:val="single" w:sz="36" w:space="0" w:color="2563EB"/>
              <w:bottom w:val="none"/>
              <w:right w:val="none"/>
            </w:tcBorders>
          </w:tcPr>
          <w:p>
            <w:pPr>
              <w:spacing w:after="0"/>
            </w:pPr>
            <w:r>
              <w:rPr>
                <w:b/>
                <w:color w:val="0F172A"/>
              </w:rPr>
              <w:t xml:space="preserve">System Architecture Flow: </w:t>
            </w:r>
            <w:r>
              <w:rPr>
                <w:color w:val="1E293B"/>
              </w:rPr>
              <w:t>User Chat UI (Streamlit) ➔ Gemini 2.5 Flash Reasoning Engine (agent.py) ➔ Dual Routing: [1] RAG Vector Lookup (ChromaDB) for static app guidelines, or [2] Native Function Calls (mock_db.py) for active account inspection &amp; perk restoration.</w:t>
            </w:r>
          </w:p>
        </w:tc>
      </w:tr>
    </w:tbl>
    <w:p/>
    <w:p>
      <w:pPr>
        <w:keepNext/>
        <w:spacing w:before="360" w:after="120"/>
      </w:pPr>
      <w:r>
        <w:rPr>
          <w:rFonts w:ascii="Calibri" w:hAnsi="Calibri"/>
          <w:b/>
          <w:color w:val="0F172A"/>
          <w:sz w:val="32"/>
        </w:rPr>
        <w:t>3. Product Features &amp; Core Scope</w:t>
      </w:r>
    </w:p>
    <w:p>
      <w:pPr>
        <w:pStyle w:val="ListBullet"/>
        <w:spacing w:after="80"/>
      </w:pPr>
      <w:r>
        <w:rPr>
          <w:b/>
          <w:color w:val="0F172A"/>
        </w:rPr>
        <w:t xml:space="preserve">Privacy-Aware Support Guidance: </w:t>
      </w:r>
      <w:r>
        <w:t>Provides step-by-step UI paths for safety features including Discreet Mode, home screen icon masking, photo blurring, and location obfuscation.</w:t>
      </w:r>
    </w:p>
    <w:p>
      <w:pPr>
        <w:pStyle w:val="ListBullet"/>
        <w:spacing w:after="80"/>
      </w:pPr>
      <w:r>
        <w:rPr>
          <w:b/>
          <w:color w:val="0F172A"/>
        </w:rPr>
        <w:t xml:space="preserve">Inclusive Identity Customization: </w:t>
      </w:r>
      <w:r>
        <w:t>Delivers clear documentation for configuring user pronouns (supporting 30+ options) and setting granular profile display permissions.</w:t>
      </w:r>
    </w:p>
    <w:p>
      <w:pPr>
        <w:pStyle w:val="ListBullet"/>
        <w:spacing w:after="80"/>
      </w:pPr>
      <w:r>
        <w:rPr>
          <w:b/>
          <w:color w:val="0F172A"/>
        </w:rPr>
        <w:t xml:space="preserve">Automated Perk Recovery (Agentic Action): </w:t>
      </w:r>
      <w:r>
        <w:t>Detects user complaints regarding missing subscription perks (e.g., Super Likes), verifies account tier via backend tools, and executes restoration workflows.</w:t>
      </w:r>
    </w:p>
    <w:p>
      <w:pPr>
        <w:pStyle w:val="ListBullet"/>
        <w:spacing w:after="80"/>
      </w:pPr>
      <w:r>
        <w:rPr>
          <w:b/>
          <w:color w:val="0F172A"/>
        </w:rPr>
        <w:t xml:space="preserve">Dual Engineering Architectures: </w:t>
      </w:r>
      <w:r>
        <w:t>Implements Phase 1 using low-abstraction native Python (google-genai SDK) and Phase 2 using stateful graph-based orchestration (LangGraph).</w:t>
      </w:r>
    </w:p>
    <w:p>
      <w:pPr>
        <w:pStyle w:val="ListBullet"/>
        <w:spacing w:after="80"/>
      </w:pPr>
      <w:r>
        <w:rPr>
          <w:b/>
          <w:color w:val="0F172A"/>
        </w:rPr>
        <w:t xml:space="preserve">Interactive Admin &amp; Web Dashboard: </w:t>
      </w:r>
      <w:r>
        <w:t>Provides a Streamlit interface for live multi-turn chat testing, execution tracing, and RAG context inspection.</w:t>
      </w:r>
    </w:p>
    <w:p>
      <w:pPr>
        <w:keepNext/>
        <w:spacing w:before="360" w:after="120"/>
      </w:pPr>
      <w:r>
        <w:rPr>
          <w:rFonts w:ascii="Calibri" w:hAnsi="Calibri"/>
          <w:b/>
          <w:color w:val="0F172A"/>
          <w:sz w:val="32"/>
        </w:rPr>
        <w:t>4. Technical Requirements &amp; Tech Stack</w:t>
      </w:r>
    </w:p>
    <w:p>
      <w:pPr>
        <w:keepNext/>
        <w:spacing w:before="240" w:after="80"/>
      </w:pPr>
      <w:r>
        <w:rPr>
          <w:rFonts w:ascii="Calibri" w:hAnsi="Calibri"/>
          <w:b/>
          <w:color w:val="2563EB"/>
          <w:sz w:val="26"/>
        </w:rPr>
        <w:t>4.1 Recommended Technology Stack</w:t>
      </w:r>
    </w:p>
    <w:tbl>
      <w:tblPr>
        <w:tblW w:type="auto" w:w="0"/>
        <w:jc w:val="center"/>
        <w:tblLook w:firstColumn="1" w:firstRow="1" w:lastColumn="0" w:lastRow="0" w:noHBand="0" w:noVBand="1" w:val="04A0"/>
      </w:tblPr>
      <w:tblGrid>
        <w:gridCol w:w="3120"/>
        <w:gridCol w:w="3120"/>
        <w:gridCol w:w="3120"/>
      </w:tblGrid>
      <w:tr>
        <w:tc>
          <w:tcPr>
            <w:tcW w:type="dxa" w:w="3312"/>
            <w:shd w:fill="0F172A"/>
            <w:tcMar>
              <w:top w:w="100" w:type="dxa"/>
              <w:bottom w:w="100" w:type="dxa"/>
              <w:left w:w="120" w:type="dxa"/>
              <w:right w:w="120" w:type="dxa"/>
            </w:tcMar>
          </w:tcPr>
          <w:p>
            <w:pPr>
              <w:spacing w:after="0"/>
            </w:pPr>
            <w:r>
              <w:rPr>
                <w:b/>
                <w:color w:val="FFFFFF"/>
                <w:sz w:val="20"/>
              </w:rPr>
              <w:t>Architecture Layer</w:t>
            </w:r>
          </w:p>
        </w:tc>
        <w:tc>
          <w:tcPr>
            <w:tcW w:type="dxa" w:w="3024"/>
            <w:shd w:fill="0F172A"/>
            <w:tcMar>
              <w:top w:w="100" w:type="dxa"/>
              <w:bottom w:w="100" w:type="dxa"/>
              <w:left w:w="120" w:type="dxa"/>
              <w:right w:w="120" w:type="dxa"/>
            </w:tcMar>
          </w:tcPr>
          <w:p>
            <w:pPr>
              <w:spacing w:after="0"/>
            </w:pPr>
            <w:r>
              <w:rPr>
                <w:b/>
                <w:color w:val="FFFFFF"/>
                <w:sz w:val="20"/>
              </w:rPr>
              <w:t>Primary Technology</w:t>
            </w:r>
          </w:p>
        </w:tc>
        <w:tc>
          <w:tcPr>
            <w:tcW w:type="dxa" w:w="3024"/>
            <w:shd w:fill="0F172A"/>
            <w:tcMar>
              <w:top w:w="100" w:type="dxa"/>
              <w:bottom w:w="100" w:type="dxa"/>
              <w:left w:w="120" w:type="dxa"/>
              <w:right w:w="120" w:type="dxa"/>
            </w:tcMar>
          </w:tcPr>
          <w:p>
            <w:pPr>
              <w:spacing w:after="0"/>
            </w:pPr>
            <w:r>
              <w:rPr>
                <w:b/>
                <w:color w:val="FFFFFF"/>
                <w:sz w:val="20"/>
              </w:rPr>
              <w:t>Backup / Secondary Technology</w:t>
            </w:r>
          </w:p>
        </w:tc>
      </w:tr>
      <w:tr>
        <w:tc>
          <w:tcPr>
            <w:tcW w:type="dxa" w:w="3312"/>
            <w:shd w:fill="FFFFFF"/>
            <w:tcMar>
              <w:top w:w="80" w:type="dxa"/>
              <w:bottom w:w="80" w:type="dxa"/>
              <w:left w:w="120" w:type="dxa"/>
              <w:right w:w="120" w:type="dxa"/>
            </w:tcMar>
          </w:tcPr>
          <w:p>
            <w:pPr>
              <w:spacing w:after="0"/>
            </w:pPr>
            <w:r>
              <w:rPr>
                <w:b/>
                <w:color w:val="0F172A"/>
                <w:sz w:val="19"/>
              </w:rPr>
              <w:t>IDE &amp; Workspace</w:t>
            </w:r>
          </w:p>
        </w:tc>
        <w:tc>
          <w:tcPr>
            <w:tcW w:type="dxa" w:w="3024"/>
            <w:shd w:fill="FFFFFF"/>
            <w:tcMar>
              <w:top w:w="80" w:type="dxa"/>
              <w:bottom w:w="80" w:type="dxa"/>
              <w:left w:w="120" w:type="dxa"/>
              <w:right w:w="120" w:type="dxa"/>
            </w:tcMar>
          </w:tcPr>
          <w:p>
            <w:pPr>
              <w:spacing w:after="0"/>
            </w:pPr>
            <w:r>
              <w:rPr>
                <w:sz w:val="19"/>
              </w:rPr>
              <w:t>Project Anti-Gravity</w:t>
            </w:r>
          </w:p>
        </w:tc>
        <w:tc>
          <w:tcPr>
            <w:tcW w:type="dxa" w:w="3024"/>
            <w:shd w:fill="FFFFFF"/>
            <w:tcMar>
              <w:top w:w="80" w:type="dxa"/>
              <w:bottom w:w="80" w:type="dxa"/>
              <w:left w:w="120" w:type="dxa"/>
              <w:right w:w="120" w:type="dxa"/>
            </w:tcMar>
          </w:tcPr>
          <w:p>
            <w:pPr>
              <w:spacing w:after="0"/>
            </w:pPr>
            <w:r>
              <w:rPr>
                <w:sz w:val="19"/>
              </w:rPr>
              <w:t>VS Code / PyCharm</w:t>
            </w:r>
          </w:p>
        </w:tc>
      </w:tr>
      <w:tr>
        <w:tc>
          <w:tcPr>
            <w:tcW w:type="dxa" w:w="3312"/>
            <w:shd w:fill="F8FAFC"/>
            <w:tcMar>
              <w:top w:w="80" w:type="dxa"/>
              <w:bottom w:w="80" w:type="dxa"/>
              <w:left w:w="120" w:type="dxa"/>
              <w:right w:w="120" w:type="dxa"/>
            </w:tcMar>
          </w:tcPr>
          <w:p>
            <w:pPr>
              <w:spacing w:after="0"/>
            </w:pPr>
            <w:r>
              <w:rPr>
                <w:b/>
                <w:color w:val="0F172A"/>
                <w:sz w:val="19"/>
              </w:rPr>
              <w:t>Language &amp; Runtime</w:t>
            </w:r>
          </w:p>
        </w:tc>
        <w:tc>
          <w:tcPr>
            <w:tcW w:type="dxa" w:w="3024"/>
            <w:shd w:fill="F8FAFC"/>
            <w:tcMar>
              <w:top w:w="80" w:type="dxa"/>
              <w:bottom w:w="80" w:type="dxa"/>
              <w:left w:w="120" w:type="dxa"/>
              <w:right w:w="120" w:type="dxa"/>
            </w:tcMar>
          </w:tcPr>
          <w:p>
            <w:pPr>
              <w:spacing w:after="0"/>
            </w:pPr>
            <w:r>
              <w:rPr>
                <w:sz w:val="19"/>
              </w:rPr>
              <w:t>Python 3.10+</w:t>
            </w:r>
          </w:p>
        </w:tc>
        <w:tc>
          <w:tcPr>
            <w:tcW w:type="dxa" w:w="3024"/>
            <w:shd w:fill="F8FAFC"/>
            <w:tcMar>
              <w:top w:w="80" w:type="dxa"/>
              <w:bottom w:w="80" w:type="dxa"/>
              <w:left w:w="120" w:type="dxa"/>
              <w:right w:w="120" w:type="dxa"/>
            </w:tcMar>
          </w:tcPr>
          <w:p>
            <w:pPr>
              <w:spacing w:after="0"/>
            </w:pPr>
            <w:r>
              <w:rPr>
                <w:sz w:val="19"/>
              </w:rPr>
              <w:t>Python 3.11+</w:t>
            </w:r>
          </w:p>
        </w:tc>
      </w:tr>
      <w:tr>
        <w:tc>
          <w:tcPr>
            <w:tcW w:type="dxa" w:w="3312"/>
            <w:shd w:fill="FFFFFF"/>
            <w:tcMar>
              <w:top w:w="80" w:type="dxa"/>
              <w:bottom w:w="80" w:type="dxa"/>
              <w:left w:w="120" w:type="dxa"/>
              <w:right w:w="120" w:type="dxa"/>
            </w:tcMar>
          </w:tcPr>
          <w:p>
            <w:pPr>
              <w:spacing w:after="0"/>
            </w:pPr>
            <w:r>
              <w:rPr>
                <w:b/>
                <w:color w:val="0F172A"/>
                <w:sz w:val="19"/>
              </w:rPr>
              <w:t>Reasoning Model</w:t>
            </w:r>
          </w:p>
        </w:tc>
        <w:tc>
          <w:tcPr>
            <w:tcW w:type="dxa" w:w="3024"/>
            <w:shd w:fill="FFFFFF"/>
            <w:tcMar>
              <w:top w:w="80" w:type="dxa"/>
              <w:bottom w:w="80" w:type="dxa"/>
              <w:left w:w="120" w:type="dxa"/>
              <w:right w:w="120" w:type="dxa"/>
            </w:tcMar>
          </w:tcPr>
          <w:p>
            <w:pPr>
              <w:spacing w:after="0"/>
            </w:pPr>
            <w:r>
              <w:rPr>
                <w:sz w:val="19"/>
              </w:rPr>
              <w:t>Google Gemini 2.5 Flash</w:t>
            </w:r>
          </w:p>
        </w:tc>
        <w:tc>
          <w:tcPr>
            <w:tcW w:type="dxa" w:w="3024"/>
            <w:shd w:fill="FFFFFF"/>
            <w:tcMar>
              <w:top w:w="80" w:type="dxa"/>
              <w:bottom w:w="80" w:type="dxa"/>
              <w:left w:w="120" w:type="dxa"/>
              <w:right w:w="120" w:type="dxa"/>
            </w:tcMar>
          </w:tcPr>
          <w:p>
            <w:pPr>
              <w:spacing w:after="0"/>
            </w:pPr>
            <w:r>
              <w:rPr>
                <w:sz w:val="19"/>
              </w:rPr>
              <w:t>OpenAI gpt-4o-mini</w:t>
            </w:r>
          </w:p>
        </w:tc>
      </w:tr>
      <w:tr>
        <w:tc>
          <w:tcPr>
            <w:tcW w:type="dxa" w:w="3312"/>
            <w:shd w:fill="F8FAFC"/>
            <w:tcMar>
              <w:top w:w="80" w:type="dxa"/>
              <w:bottom w:w="80" w:type="dxa"/>
              <w:left w:w="120" w:type="dxa"/>
              <w:right w:w="120" w:type="dxa"/>
            </w:tcMar>
          </w:tcPr>
          <w:p>
            <w:pPr>
              <w:spacing w:after="0"/>
            </w:pPr>
            <w:r>
              <w:rPr>
                <w:b/>
                <w:color w:val="0F172A"/>
                <w:sz w:val="19"/>
              </w:rPr>
              <w:t>SDK Interface</w:t>
            </w:r>
          </w:p>
        </w:tc>
        <w:tc>
          <w:tcPr>
            <w:tcW w:type="dxa" w:w="3024"/>
            <w:shd w:fill="F8FAFC"/>
            <w:tcMar>
              <w:top w:w="80" w:type="dxa"/>
              <w:bottom w:w="80" w:type="dxa"/>
              <w:left w:w="120" w:type="dxa"/>
              <w:right w:w="120" w:type="dxa"/>
            </w:tcMar>
          </w:tcPr>
          <w:p>
            <w:pPr>
              <w:spacing w:after="0"/>
            </w:pPr>
            <w:r>
              <w:rPr>
                <w:sz w:val="19"/>
              </w:rPr>
              <w:t>google-genai (Native SDK)</w:t>
            </w:r>
          </w:p>
        </w:tc>
        <w:tc>
          <w:tcPr>
            <w:tcW w:type="dxa" w:w="3024"/>
            <w:shd w:fill="F8FAFC"/>
            <w:tcMar>
              <w:top w:w="80" w:type="dxa"/>
              <w:bottom w:w="80" w:type="dxa"/>
              <w:left w:w="120" w:type="dxa"/>
              <w:right w:w="120" w:type="dxa"/>
            </w:tcMar>
          </w:tcPr>
          <w:p>
            <w:pPr>
              <w:spacing w:after="0"/>
            </w:pPr>
            <w:r>
              <w:rPr>
                <w:sz w:val="19"/>
              </w:rPr>
              <w:t>langchain-google-genai</w:t>
            </w:r>
          </w:p>
        </w:tc>
      </w:tr>
      <w:tr>
        <w:tc>
          <w:tcPr>
            <w:tcW w:type="dxa" w:w="3312"/>
            <w:shd w:fill="FFFFFF"/>
            <w:tcMar>
              <w:top w:w="80" w:type="dxa"/>
              <w:bottom w:w="80" w:type="dxa"/>
              <w:left w:w="120" w:type="dxa"/>
              <w:right w:w="120" w:type="dxa"/>
            </w:tcMar>
          </w:tcPr>
          <w:p>
            <w:pPr>
              <w:spacing w:after="0"/>
            </w:pPr>
            <w:r>
              <w:rPr>
                <w:b/>
                <w:color w:val="0F172A"/>
                <w:sz w:val="19"/>
              </w:rPr>
              <w:t>Vector Database</w:t>
            </w:r>
          </w:p>
        </w:tc>
        <w:tc>
          <w:tcPr>
            <w:tcW w:type="dxa" w:w="3024"/>
            <w:shd w:fill="FFFFFF"/>
            <w:tcMar>
              <w:top w:w="80" w:type="dxa"/>
              <w:bottom w:w="80" w:type="dxa"/>
              <w:left w:w="120" w:type="dxa"/>
              <w:right w:w="120" w:type="dxa"/>
            </w:tcMar>
          </w:tcPr>
          <w:p>
            <w:pPr>
              <w:spacing w:after="0"/>
            </w:pPr>
            <w:r>
              <w:rPr>
                <w:sz w:val="19"/>
              </w:rPr>
              <w:t>ChromaDB (Local / Embedded)</w:t>
            </w:r>
          </w:p>
        </w:tc>
        <w:tc>
          <w:tcPr>
            <w:tcW w:type="dxa" w:w="3024"/>
            <w:shd w:fill="FFFFFF"/>
            <w:tcMar>
              <w:top w:w="80" w:type="dxa"/>
              <w:bottom w:w="80" w:type="dxa"/>
              <w:left w:w="120" w:type="dxa"/>
              <w:right w:w="120" w:type="dxa"/>
            </w:tcMar>
          </w:tcPr>
          <w:p>
            <w:pPr>
              <w:spacing w:after="0"/>
            </w:pPr>
            <w:r>
              <w:rPr>
                <w:sz w:val="19"/>
              </w:rPr>
              <w:t>FAISS (faiss-cpu)</w:t>
            </w:r>
          </w:p>
        </w:tc>
      </w:tr>
      <w:tr>
        <w:tc>
          <w:tcPr>
            <w:tcW w:type="dxa" w:w="3312"/>
            <w:shd w:fill="F8FAFC"/>
            <w:tcMar>
              <w:top w:w="80" w:type="dxa"/>
              <w:bottom w:w="80" w:type="dxa"/>
              <w:left w:w="120" w:type="dxa"/>
              <w:right w:w="120" w:type="dxa"/>
            </w:tcMar>
          </w:tcPr>
          <w:p>
            <w:pPr>
              <w:spacing w:after="0"/>
            </w:pPr>
            <w:r>
              <w:rPr>
                <w:b/>
                <w:color w:val="0F172A"/>
                <w:sz w:val="19"/>
              </w:rPr>
              <w:t>Orchestration Framework</w:t>
            </w:r>
          </w:p>
        </w:tc>
        <w:tc>
          <w:tcPr>
            <w:tcW w:type="dxa" w:w="3024"/>
            <w:shd w:fill="F8FAFC"/>
            <w:tcMar>
              <w:top w:w="80" w:type="dxa"/>
              <w:bottom w:w="80" w:type="dxa"/>
              <w:left w:w="120" w:type="dxa"/>
              <w:right w:w="120" w:type="dxa"/>
            </w:tcMar>
          </w:tcPr>
          <w:p>
            <w:pPr>
              <w:spacing w:after="0"/>
            </w:pPr>
            <w:r>
              <w:rPr>
                <w:sz w:val="19"/>
              </w:rPr>
              <w:t>Native Python Loops / LangGraph</w:t>
            </w:r>
          </w:p>
        </w:tc>
        <w:tc>
          <w:tcPr>
            <w:tcW w:type="dxa" w:w="3024"/>
            <w:shd w:fill="F8FAFC"/>
            <w:tcMar>
              <w:top w:w="80" w:type="dxa"/>
              <w:bottom w:w="80" w:type="dxa"/>
              <w:left w:w="120" w:type="dxa"/>
              <w:right w:w="120" w:type="dxa"/>
            </w:tcMar>
          </w:tcPr>
          <w:p>
            <w:pPr>
              <w:spacing w:after="0"/>
            </w:pPr>
            <w:r>
              <w:rPr>
                <w:sz w:val="19"/>
              </w:rPr>
              <w:t>LangChain AgentExecutor</w:t>
            </w:r>
          </w:p>
        </w:tc>
      </w:tr>
      <w:tr>
        <w:tc>
          <w:tcPr>
            <w:tcW w:type="dxa" w:w="3312"/>
            <w:shd w:fill="FFFFFF"/>
            <w:tcMar>
              <w:top w:w="80" w:type="dxa"/>
              <w:bottom w:w="80" w:type="dxa"/>
              <w:left w:w="120" w:type="dxa"/>
              <w:right w:w="120" w:type="dxa"/>
            </w:tcMar>
          </w:tcPr>
          <w:p>
            <w:pPr>
              <w:spacing w:after="0"/>
            </w:pPr>
            <w:r>
              <w:rPr>
                <w:b/>
                <w:color w:val="0F172A"/>
                <w:sz w:val="19"/>
              </w:rPr>
              <w:t>User Interface</w:t>
            </w:r>
          </w:p>
        </w:tc>
        <w:tc>
          <w:tcPr>
            <w:tcW w:type="dxa" w:w="3024"/>
            <w:shd w:fill="FFFFFF"/>
            <w:tcMar>
              <w:top w:w="80" w:type="dxa"/>
              <w:bottom w:w="80" w:type="dxa"/>
              <w:left w:w="120" w:type="dxa"/>
              <w:right w:w="120" w:type="dxa"/>
            </w:tcMar>
          </w:tcPr>
          <w:p>
            <w:pPr>
              <w:spacing w:after="0"/>
            </w:pPr>
            <w:r>
              <w:rPr>
                <w:sz w:val="19"/>
              </w:rPr>
              <w:t>Streamlit</w:t>
            </w:r>
          </w:p>
        </w:tc>
        <w:tc>
          <w:tcPr>
            <w:tcW w:type="dxa" w:w="3024"/>
            <w:shd w:fill="FFFFFF"/>
            <w:tcMar>
              <w:top w:w="80" w:type="dxa"/>
              <w:bottom w:w="80" w:type="dxa"/>
              <w:left w:w="120" w:type="dxa"/>
              <w:right w:w="120" w:type="dxa"/>
            </w:tcMar>
          </w:tcPr>
          <w:p>
            <w:pPr>
              <w:spacing w:after="0"/>
            </w:pPr>
            <w:r>
              <w:rPr>
                <w:sz w:val="19"/>
              </w:rPr>
              <w:t>Gradio</w:t>
            </w:r>
          </w:p>
        </w:tc>
      </w:tr>
    </w:tbl>
    <w:p/>
    <w:p>
      <w:pPr>
        <w:keepNext/>
        <w:spacing w:before="240" w:after="80"/>
      </w:pPr>
      <w:r>
        <w:rPr>
          <w:rFonts w:ascii="Calibri" w:hAnsi="Calibri"/>
          <w:b/>
          <w:color w:val="2563EB"/>
          <w:sz w:val="26"/>
        </w:rPr>
        <w:t>4.2 System Modules &amp; Responsibilities</w:t>
      </w:r>
    </w:p>
    <w:p>
      <w:pPr>
        <w:pStyle w:val="ListBullet"/>
        <w:spacing w:after="80"/>
      </w:pPr>
      <w:r>
        <w:rPr>
          <w:b/>
          <w:color w:val="2563EB"/>
        </w:rPr>
        <w:t xml:space="preserve">data/ — </w:t>
      </w:r>
      <w:r>
        <w:t>Knowledge repository containing markdown/txt documents defining app policies, privacy features, and billing guides.</w:t>
      </w:r>
    </w:p>
    <w:p>
      <w:pPr>
        <w:pStyle w:val="ListBullet"/>
        <w:spacing w:after="80"/>
      </w:pPr>
      <w:r>
        <w:rPr>
          <w:b/>
          <w:color w:val="2563EB"/>
        </w:rPr>
        <w:t xml:space="preserve">mock_db.py — </w:t>
      </w:r>
      <w:r>
        <w:t>Simulated backend database and tool-callable API functions (get_user_account, trigger_restore_purchases).</w:t>
      </w:r>
    </w:p>
    <w:p>
      <w:pPr>
        <w:pStyle w:val="ListBullet"/>
        <w:spacing w:after="80"/>
      </w:pPr>
      <w:r>
        <w:rPr>
          <w:b/>
          <w:color w:val="2563EB"/>
        </w:rPr>
        <w:t xml:space="preserve">rag_engine.py — </w:t>
      </w:r>
      <w:r>
        <w:t>Vector store manager handling document chunking, embedding generation, and semantic k-NN similarity lookup in ChromaDB.</w:t>
      </w:r>
    </w:p>
    <w:p>
      <w:pPr>
        <w:pStyle w:val="ListBullet"/>
        <w:spacing w:after="80"/>
      </w:pPr>
      <w:r>
        <w:rPr>
          <w:b/>
          <w:color w:val="2563EB"/>
        </w:rPr>
        <w:t xml:space="preserve">agent.py — </w:t>
      </w:r>
      <w:r>
        <w:t>Core reasoning agent managing prompt construction, Gemini 2.5 communications, and function calling execution loops.</w:t>
      </w:r>
    </w:p>
    <w:p>
      <w:pPr>
        <w:pStyle w:val="ListBullet"/>
        <w:spacing w:after="80"/>
      </w:pPr>
      <w:r>
        <w:rPr>
          <w:b/>
          <w:color w:val="2563EB"/>
        </w:rPr>
        <w:t xml:space="preserve">app.py — </w:t>
      </w:r>
      <w:r>
        <w:t>Interactive Streamlit web frontend for end-user chat sessions.</w:t>
      </w:r>
    </w:p>
    <w:p>
      <w:pPr>
        <w:pStyle w:val="ListBullet"/>
        <w:spacing w:after="80"/>
      </w:pPr>
      <w:r>
        <w:rPr>
          <w:b/>
          <w:color w:val="2563EB"/>
        </w:rPr>
        <w:t xml:space="preserve">main.py — </w:t>
      </w:r>
      <w:r>
        <w:t>CLI execution runner for local debugging and terminal validation.</w:t>
      </w:r>
    </w:p>
    <w:p>
      <w:pPr>
        <w:keepNext/>
        <w:spacing w:before="360" w:after="120"/>
      </w:pPr>
      <w:r>
        <w:rPr>
          <w:rFonts w:ascii="Calibri" w:hAnsi="Calibri"/>
          <w:b/>
          <w:color w:val="0F172A"/>
          <w:sz w:val="32"/>
        </w:rPr>
        <w:t>5. Non-Functional Requirements (NFRs)</w:t>
      </w:r>
    </w:p>
    <w:p>
      <w:pPr>
        <w:pStyle w:val="ListBullet"/>
        <w:spacing w:after="80"/>
      </w:pPr>
      <w:r>
        <w:rPr>
          <w:b/>
          <w:color w:val="0F172A"/>
        </w:rPr>
        <w:t xml:space="preserve">Security &amp; Key Hygiene: </w:t>
      </w:r>
      <w:r>
        <w:t>API keys (GEMINI_API_KEY) must be loaded exclusively via .env files. Git repositories must exclude .env, .venv, and vector database folders.</w:t>
      </w:r>
    </w:p>
    <w:p>
      <w:pPr>
        <w:pStyle w:val="ListBullet"/>
        <w:spacing w:after="80"/>
      </w:pPr>
      <w:r>
        <w:rPr>
          <w:b/>
          <w:color w:val="0F172A"/>
        </w:rPr>
        <w:t xml:space="preserve">Hallucination Prevention: </w:t>
      </w:r>
      <w:r>
        <w:t>System prompts explicitly restrict the model to retrieved knowledge context for app guidance, defaulting to polite refusal if documentation is absent.</w:t>
      </w:r>
    </w:p>
    <w:p>
      <w:pPr>
        <w:pStyle w:val="ListBullet"/>
        <w:spacing w:after="80"/>
      </w:pPr>
      <w:r>
        <w:rPr>
          <w:b/>
          <w:color w:val="0F172A"/>
        </w:rPr>
        <w:t xml:space="preserve">Latency Target: </w:t>
      </w:r>
      <w:r>
        <w:t>RAG retrieval and LLM tool execution must return complete user responses in &lt; 2.5 seconds using Gemini 2.5 Flash.</w:t>
      </w:r>
    </w:p>
    <w:p>
      <w:pPr>
        <w:pStyle w:val="ListBullet"/>
        <w:spacing w:after="80"/>
      </w:pPr>
      <w:r>
        <w:rPr>
          <w:b/>
          <w:color w:val="0F172A"/>
        </w:rPr>
        <w:t xml:space="preserve">Modularity: </w:t>
      </w:r>
      <w:r>
        <w:t>Database tooling and RAG logic must remain decoupled to allow seamless migration to cloud vector stores (e.g., Qdrant, Pinecone).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