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0" w:before="0"/>
      </w:pPr>
    </w:p>
    <w:p>
      <w:pPr>
        <w:spacing w:after="120" w:before="0"/>
        <w:jc w:val="center"/>
      </w:pPr>
      <w:r>
        <w:rPr>
          <w:b/>
          <w:i w:val="0"/>
          <w:color w:val="1F3A5F"/>
          <w:sz w:val="52"/>
        </w:rPr>
        <w:t>POSTPARTUM WEIGHT &amp; WELLNESS APP</w:t>
      </w:r>
    </w:p>
    <w:p>
      <w:pPr>
        <w:spacing w:after="360" w:before="0"/>
        <w:jc w:val="center"/>
      </w:pPr>
      <w:r>
        <w:rPr>
          <w:b w:val="0"/>
          <w:i w:val="0"/>
          <w:color w:val="2E7D6E"/>
          <w:sz w:val="34"/>
        </w:rPr>
        <w:t>Market Research &amp; Entry Strategy</w:t>
      </w:r>
    </w:p>
    <w:p>
      <w:pPr>
        <w:spacing w:after="3400" w:before="0"/>
        <w:jc w:val="center"/>
      </w:pPr>
      <w:r>
        <w:rPr>
          <w:b w:val="0"/>
          <w:i/>
          <w:color w:val="595959"/>
          <w:sz w:val="24"/>
        </w:rPr>
        <w:t>The breastfeeding-safe nutrition and recovery opportunity</w:t>
      </w:r>
    </w:p>
    <w:p>
      <w:pPr>
        <w:spacing w:after="80" w:before="0"/>
        <w:jc w:val="center"/>
      </w:pPr>
      <w:r>
        <w:rPr>
          <w:b w:val="0"/>
          <w:i w:val="0"/>
          <w:color w:val="595959"/>
          <w:sz w:val="22"/>
        </w:rPr>
        <w:t>Prepared for Anthony Lachhman</w:t>
      </w:r>
    </w:p>
    <w:p>
      <w:pPr>
        <w:spacing w:after="80" w:before="0"/>
        <w:jc w:val="center"/>
      </w:pPr>
      <w:r>
        <w:rPr>
          <w:b w:val="0"/>
          <w:i w:val="0"/>
          <w:color w:val="595959"/>
          <w:sz w:val="22"/>
        </w:rPr>
        <w:t>August 17, 2026</w:t>
      </w:r>
    </w:p>
    <w:p>
      <w:pPr>
        <w:spacing w:after="160" w:before="0"/>
        <w:jc w:val="center"/>
      </w:pPr>
      <w:r>
        <w:rPr>
          <w:b w:val="0"/>
          <w:i/>
          <w:color w:val="595959"/>
          <w:sz w:val="18"/>
        </w:rPr>
        <w:t>Confidential — internal strategy document with investor-ready market sections</w:t>
      </w:r>
    </w:p>
    <w:p>
      <w:r>
        <w:br w:type="page"/>
      </w:r>
    </w:p>
    <w:p>
      <w:pPr>
        <w:spacing w:after="200" w:before="0"/>
      </w:pPr>
      <w:r>
        <w:rPr>
          <w:b/>
          <w:i w:val="0"/>
          <w:color w:val="1F3A5F"/>
          <w:sz w:val="32"/>
        </w:rPr>
        <w:t>Contents</w:t>
      </w:r>
    </w:p>
    <w:p>
      <w:pPr>
        <w:spacing w:after="100" w:before="0"/>
      </w:pPr>
      <w:r>
        <w:rPr>
          <w:b w:val="0"/>
          <w:i w:val="0"/>
          <w:sz w:val="22"/>
        </w:rPr>
        <w:t>1. Executive Summary</w:t>
      </w:r>
    </w:p>
    <w:p>
      <w:pPr>
        <w:spacing w:after="100" w:before="0"/>
      </w:pPr>
      <w:r>
        <w:rPr>
          <w:b w:val="0"/>
          <w:i w:val="0"/>
          <w:sz w:val="22"/>
        </w:rPr>
        <w:t>2. Market Size &amp; Growth</w:t>
      </w:r>
    </w:p>
    <w:p>
      <w:pPr>
        <w:spacing w:after="100" w:before="0"/>
      </w:pPr>
      <w:r>
        <w:rPr>
          <w:b w:val="0"/>
          <w:i w:val="0"/>
          <w:sz w:val="22"/>
        </w:rPr>
        <w:t>3. The GLP-1 Reshuffle: Why Timing Favors This Niche</w:t>
      </w:r>
    </w:p>
    <w:p>
      <w:pPr>
        <w:spacing w:after="100" w:before="0"/>
      </w:pPr>
      <w:r>
        <w:rPr>
          <w:b w:val="0"/>
          <w:i w:val="0"/>
          <w:sz w:val="22"/>
        </w:rPr>
        <w:t>4. Target Customer &amp; Demand Evidence</w:t>
      </w:r>
    </w:p>
    <w:p>
      <w:pPr>
        <w:spacing w:after="100" w:before="0"/>
      </w:pPr>
      <w:r>
        <w:rPr>
          <w:b w:val="0"/>
          <w:i w:val="0"/>
          <w:sz w:val="22"/>
        </w:rPr>
        <w:t>5. Competitive Landscape</w:t>
      </w:r>
    </w:p>
    <w:p>
      <w:pPr>
        <w:spacing w:after="100" w:before="0"/>
      </w:pPr>
      <w:r>
        <w:rPr>
          <w:b w:val="0"/>
          <w:i w:val="0"/>
          <w:sz w:val="22"/>
        </w:rPr>
        <w:t>6. Why the Space Is Empty: Barriers to Entry</w:t>
      </w:r>
    </w:p>
    <w:p>
      <w:pPr>
        <w:spacing w:after="100" w:before="0"/>
      </w:pPr>
      <w:r>
        <w:rPr>
          <w:b w:val="0"/>
          <w:i w:val="0"/>
          <w:sz w:val="22"/>
        </w:rPr>
        <w:t>7. Gap Analysis &amp; Positioning</w:t>
      </w:r>
    </w:p>
    <w:p>
      <w:pPr>
        <w:spacing w:after="100" w:before="0"/>
      </w:pPr>
      <w:r>
        <w:rPr>
          <w:b w:val="0"/>
          <w:i w:val="0"/>
          <w:sz w:val="22"/>
        </w:rPr>
        <w:t>8. Entry Strategy &amp; Product Roadmap</w:t>
      </w:r>
    </w:p>
    <w:p>
      <w:pPr>
        <w:spacing w:after="100" w:before="0"/>
      </w:pPr>
      <w:r>
        <w:rPr>
          <w:b w:val="0"/>
          <w:i w:val="0"/>
          <w:sz w:val="22"/>
        </w:rPr>
        <w:t>9. Go-to-Market</w:t>
      </w:r>
    </w:p>
    <w:p>
      <w:pPr>
        <w:spacing w:after="100" w:before="0"/>
      </w:pPr>
      <w:r>
        <w:rPr>
          <w:b w:val="0"/>
          <w:i w:val="0"/>
          <w:sz w:val="22"/>
        </w:rPr>
        <w:t>10. Business Model &amp; Unit Economics</w:t>
      </w:r>
    </w:p>
    <w:p>
      <w:pPr>
        <w:spacing w:after="100" w:before="0"/>
      </w:pPr>
      <w:r>
        <w:rPr>
          <w:b w:val="0"/>
          <w:i w:val="0"/>
          <w:sz w:val="22"/>
        </w:rPr>
        <w:t>11. Regulatory, Safety &amp; Liability</w:t>
      </w:r>
    </w:p>
    <w:p>
      <w:pPr>
        <w:spacing w:after="100" w:before="0"/>
      </w:pPr>
      <w:r>
        <w:rPr>
          <w:b w:val="0"/>
          <w:i w:val="0"/>
          <w:sz w:val="22"/>
        </w:rPr>
        <w:t>12. Funding Landscape</w:t>
      </w:r>
    </w:p>
    <w:p>
      <w:pPr>
        <w:spacing w:after="100" w:before="0"/>
      </w:pPr>
      <w:r>
        <w:rPr>
          <w:b w:val="0"/>
          <w:i w:val="0"/>
          <w:sz w:val="22"/>
        </w:rPr>
        <w:t>13. Risks &amp; Mitigations</w:t>
      </w:r>
    </w:p>
    <w:p>
      <w:pPr>
        <w:spacing w:after="100" w:before="0"/>
      </w:pPr>
      <w:r>
        <w:rPr>
          <w:b w:val="0"/>
          <w:i w:val="0"/>
          <w:sz w:val="22"/>
        </w:rPr>
        <w:t>14. Recommended Next Steps</w:t>
      </w:r>
    </w:p>
    <w:p>
      <w:pPr>
        <w:spacing w:after="100" w:before="0"/>
      </w:pPr>
      <w:r>
        <w:rPr>
          <w:b w:val="0"/>
          <w:i w:val="0"/>
          <w:sz w:val="22"/>
        </w:rPr>
        <w:t>15. Sources</w:t>
      </w:r>
    </w:p>
    <w:p>
      <w:r>
        <w:br w:type="page"/>
      </w:r>
    </w:p>
    <w:p>
      <w:pPr>
        <w:pStyle w:val="Heading1"/>
      </w:pPr>
      <w:r>
        <w:t>1. Executive Summary</w:t>
      </w:r>
    </w:p>
    <w:p>
      <w:pPr>
        <w:spacing w:after="160" w:before="0"/>
      </w:pPr>
      <w:r>
        <w:rPr>
          <w:b w:val="0"/>
          <w:i w:val="0"/>
          <w:sz w:val="22"/>
        </w:rPr>
        <w:t>This document assesses the opportunity to launch a mobile app helping postpartum mothers lose weight and rebuild strength safely, with a wedge product focused on breastfeeding-aware nutrition coaching. Research was conducted in August 2026 across app stores, market research reports, clinical literature, regulatory guidance, and funding databases.</w:t>
      </w:r>
    </w:p>
    <w:p>
      <w:pPr>
        <w:pStyle w:val="Heading2"/>
      </w:pPr>
      <w:r>
        <w:t>The opportunity in one paragraph</w:t>
      </w:r>
    </w:p>
    <w:p>
      <w:pPr>
        <w:spacing w:after="160" w:before="0"/>
      </w:pPr>
      <w:r>
        <w:rPr>
          <w:b w:val="0"/>
          <w:i w:val="0"/>
          <w:sz w:val="22"/>
        </w:rPr>
        <w:t>Roughly 3.6 million women give birth in the US each year; about 86% initiate breastfeeding and roughly 75% weigh more than their pre-pregnancy weight a full year later. Nearly half retain more than 10 pounds. Yet the dominant nutrition apps ignore them: MyFitnessPal has no nursing mode (users hack it by logging “breastfeeding” as a negative-500-calorie food), and Noom and WeightWatchers offer no dedicated postpartum program. Meanwhile GLP-1 drugs — which generated ~$132B in 2025 and are hollowing out the general-purpose diet app market — are not recommended while breastfeeding. Nursing mothers are therefore one of the last large, structurally protected audiences for a behavioral weight-management product, and the only direct competitor (LatchFit) is a buggy, solo-developer iOS app with 7 ratings. The category is winnable.</w:t>
      </w:r>
    </w:p>
    <w:p>
      <w:pPr>
        <w:pStyle w:val="Heading2"/>
      </w:pPr>
      <w:r>
        <w:t>Key findings</w:t>
      </w:r>
    </w:p>
    <w:p>
      <w:pPr>
        <w:pStyle w:val="ListBullet"/>
        <w:spacing w:after="100"/>
      </w:pPr>
      <w:r>
        <w:rPr>
          <w:b/>
          <w:i w:val="0"/>
          <w:sz w:val="22"/>
        </w:rPr>
        <w:t xml:space="preserve">Demand is real and measurable. </w:t>
      </w:r>
      <w:r>
        <w:rPr>
          <w:b w:val="0"/>
          <w:i w:val="0"/>
          <w:sz w:val="22"/>
        </w:rPr>
        <w:t>~3.1M US women begin a breastfeeding journey annually; 47% retain &gt;10 lbs at one year; forums document sustained frustration that mainstream trackers under-feed nursing mothers.</w:t>
      </w:r>
    </w:p>
    <w:p>
      <w:pPr>
        <w:pStyle w:val="ListBullet"/>
        <w:spacing w:after="100"/>
      </w:pPr>
      <w:r>
        <w:rPr>
          <w:b/>
          <w:i w:val="0"/>
          <w:sz w:val="22"/>
        </w:rPr>
        <w:t xml:space="preserve">The nutrition niche is effectively unoccupied. </w:t>
      </w:r>
      <w:r>
        <w:rPr>
          <w:b w:val="0"/>
          <w:i w:val="0"/>
          <w:sz w:val="22"/>
        </w:rPr>
        <w:t>LatchFit (launched Oct 2025) validates the concept but is executionally weak: 3.6 stars, 7 ratings, iOS-only, ad-supported, $2.99 IAP, and a version history dominated by crash and data-loss fixes.</w:t>
      </w:r>
    </w:p>
    <w:p>
      <w:pPr>
        <w:pStyle w:val="ListBullet"/>
        <w:spacing w:after="100"/>
      </w:pPr>
      <w:r>
        <w:rPr>
          <w:b/>
          <w:i w:val="0"/>
          <w:sz w:val="22"/>
        </w:rPr>
        <w:t xml:space="preserve">The fitness side is crowded but fragmented. </w:t>
      </w:r>
      <w:r>
        <w:rPr>
          <w:b w:val="0"/>
          <w:i w:val="0"/>
          <w:sz w:val="22"/>
        </w:rPr>
        <w:t>MUTU, Expecting &amp; Empowered, Every Mother, Juna, Sweat and others compete on pelvic-floor recovery at $13–30/month, with no dominant platform and no integration of nutrition.</w:t>
      </w:r>
    </w:p>
    <w:p>
      <w:pPr>
        <w:pStyle w:val="ListBullet"/>
        <w:spacing w:after="100"/>
      </w:pPr>
      <w:r>
        <w:rPr>
          <w:b/>
          <w:i w:val="0"/>
          <w:sz w:val="22"/>
        </w:rPr>
        <w:t xml:space="preserve">GLP-1 disruption is a tailwind here, not a threat. </w:t>
      </w:r>
      <w:r>
        <w:rPr>
          <w:b w:val="0"/>
          <w:i w:val="0"/>
          <w:sz w:val="22"/>
        </w:rPr>
        <w:t>The $135B weight-loss market is shifting to medicalized programs, but clinical guidance says wait until after breastfeeding — preserving a 6–18-month behavioral window per mother that drugs cannot serve.</w:t>
      </w:r>
    </w:p>
    <w:p>
      <w:pPr>
        <w:pStyle w:val="ListBullet"/>
        <w:spacing w:after="100"/>
      </w:pPr>
      <w:r>
        <w:rPr>
          <w:b/>
          <w:i w:val="0"/>
          <w:sz w:val="22"/>
        </w:rPr>
        <w:t xml:space="preserve">Regulatory path is clean. </w:t>
      </w:r>
      <w:r>
        <w:rPr>
          <w:b w:val="0"/>
          <w:i w:val="0"/>
          <w:sz w:val="22"/>
        </w:rPr>
        <w:t>Under the FDA's January 2026 revised General Wellness guidance, a calorie/wellness tracker avoiding disease-treatment claims is not a regulated medical device. The main compliance item is FTC influencer disclosure.</w:t>
      </w:r>
    </w:p>
    <w:p>
      <w:pPr>
        <w:pStyle w:val="ListBullet"/>
        <w:spacing w:after="100"/>
      </w:pPr>
      <w:r>
        <w:rPr>
          <w:b/>
          <w:i w:val="0"/>
          <w:sz w:val="22"/>
        </w:rPr>
        <w:t xml:space="preserve">Capital is available. </w:t>
      </w:r>
      <w:r>
        <w:rPr>
          <w:b w:val="0"/>
          <w:i w:val="0"/>
          <w:sz w:val="22"/>
        </w:rPr>
        <w:t>Maternal health is the #2 femtech funding category ($380M across 26 deals, 2022–2025); seed rounds are ~52% of current femtech deal count.</w:t>
      </w:r>
    </w:p>
    <w:p>
      <w:pPr>
        <w:pStyle w:val="Heading2"/>
      </w:pPr>
      <w:r>
        <w:t>Recommendation</w:t>
      </w:r>
    </w:p>
    <w:p>
      <w:pPr>
        <w:spacing w:after="160" w:before="0"/>
      </w:pPr>
      <w:r>
        <w:rPr>
          <w:b w:val="0"/>
          <w:i w:val="0"/>
          <w:sz w:val="22"/>
        </w:rPr>
        <w:t>Enter with a breastfeeding-safe nutrition coach (calorie floors, milk-supply monitoring, safe-deficit guardrails), differentiate on clinical credibility and execution quality, acquire through TikTok mom-fitness content and lactation-consultant referrals, and expand into stage-gated fitness within 12 months to become the full-stack “body after baby” platform. Target $1–3M ARR by end of year one at 10–25K subscribers, with B2B2C (employers, payers, health systems) as the series-A story.</w:t>
      </w:r>
    </w:p>
    <w:p>
      <w:r>
        <w:br w:type="page"/>
      </w:r>
    </w:p>
    <w:p>
      <w:pPr>
        <w:pStyle w:val="Heading1"/>
      </w:pPr>
      <w:r>
        <w:t>2. Market Size &amp; Growth</w:t>
      </w:r>
    </w:p>
    <w:p>
      <w:pPr>
        <w:pStyle w:val="Heading2"/>
      </w:pPr>
      <w:r>
        <w:t>2.1 The addressable population (US)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888"/>
            <w:shd w:val="clear" w:color="auto" w:fill="1F3A5F"/>
          </w:tcPr>
          <w:p>
            <w:pPr>
              <w:spacing w:after="40" w:before="40"/>
            </w:pPr>
            <w:r>
              <w:rPr>
                <w:b/>
                <w:color w:val="FFFFFF"/>
                <w:sz w:val="20"/>
              </w:rPr>
              <w:t>Metric</w:t>
            </w:r>
          </w:p>
        </w:tc>
        <w:tc>
          <w:tcPr>
            <w:tcW w:type="dxa" w:w="3312"/>
            <w:shd w:val="clear" w:color="auto" w:fill="1F3A5F"/>
          </w:tcPr>
          <w:p>
            <w:pPr>
              <w:spacing w:after="40" w:before="40"/>
            </w:pPr>
            <w:r>
              <w:rPr>
                <w:b/>
                <w:color w:val="FFFFFF"/>
                <w:sz w:val="20"/>
              </w:rPr>
              <w:t>Value</w:t>
            </w:r>
          </w:p>
        </w:tc>
        <w:tc>
          <w:tcPr>
            <w:tcW w:type="dxa" w:w="2160"/>
            <w:shd w:val="clear" w:color="auto" w:fill="1F3A5F"/>
          </w:tcPr>
          <w:p>
            <w:pPr>
              <w:spacing w:after="40" w:before="40"/>
            </w:pPr>
            <w:r>
              <w:rPr>
                <w:b/>
                <w:color w:val="FFFFFF"/>
                <w:sz w:val="20"/>
              </w:rPr>
              <w:t>Source period</w:t>
            </w:r>
          </w:p>
        </w:tc>
      </w:tr>
      <w:tr>
        <w:tc>
          <w:tcPr>
            <w:tcW w:type="dxa" w:w="3888"/>
          </w:tcPr>
          <w:p>
            <w:pPr>
              <w:spacing w:after="40" w:before="40"/>
            </w:pPr>
            <w:r>
              <w:rPr>
                <w:sz w:val="20"/>
              </w:rPr>
              <w:t>US births per year</w:t>
            </w:r>
          </w:p>
        </w:tc>
        <w:tc>
          <w:tcPr>
            <w:tcW w:type="dxa" w:w="3312"/>
          </w:tcPr>
          <w:p>
            <w:pPr>
              <w:spacing w:after="40" w:before="40"/>
            </w:pPr>
            <w:r>
              <w:rPr>
                <w:sz w:val="20"/>
              </w:rPr>
              <w:t>3,622,673 (2024); 3,606,400 provisional (2025)</w:t>
            </w:r>
          </w:p>
        </w:tc>
        <w:tc>
          <w:tcPr>
            <w:tcW w:type="dxa" w:w="2160"/>
          </w:tcPr>
          <w:p>
            <w:pPr>
              <w:spacing w:after="40" w:before="40"/>
            </w:pPr>
            <w:r>
              <w:rPr>
                <w:sz w:val="20"/>
              </w:rPr>
              <w:t>CDC/NCHS provisional data</w:t>
            </w:r>
          </w:p>
        </w:tc>
      </w:tr>
      <w:tr>
        <w:tc>
          <w:tcPr>
            <w:tcW w:type="dxa" w:w="3888"/>
            <w:shd w:val="clear" w:color="auto" w:fill="EEF2F6"/>
          </w:tcPr>
          <w:p>
            <w:pPr>
              <w:spacing w:after="40" w:before="40"/>
            </w:pPr>
            <w:r>
              <w:rPr>
                <w:sz w:val="20"/>
              </w:rPr>
              <w:t>Breastfeeding initiation (“ever breastfed”)</w:t>
            </w:r>
          </w:p>
        </w:tc>
        <w:tc>
          <w:tcPr>
            <w:tcW w:type="dxa" w:w="3312"/>
            <w:shd w:val="clear" w:color="auto" w:fill="EEF2F6"/>
          </w:tcPr>
          <w:p>
            <w:pPr>
              <w:spacing w:after="40" w:before="40"/>
            </w:pPr>
            <w:r>
              <w:rPr>
                <w:sz w:val="20"/>
              </w:rPr>
              <w:t>85.7%</w:t>
            </w:r>
          </w:p>
        </w:tc>
        <w:tc>
          <w:tcPr>
            <w:tcW w:type="dxa" w:w="2160"/>
            <w:shd w:val="clear" w:color="auto" w:fill="EEF2F6"/>
          </w:tcPr>
          <w:p>
            <w:pPr>
              <w:spacing w:after="40" w:before="40"/>
            </w:pPr>
            <w:r>
              <w:rPr>
                <w:sz w:val="20"/>
              </w:rPr>
              <w:t>CDC, infants born 2022</w:t>
            </w:r>
          </w:p>
        </w:tc>
      </w:tr>
      <w:tr>
        <w:tc>
          <w:tcPr>
            <w:tcW w:type="dxa" w:w="3888"/>
          </w:tcPr>
          <w:p>
            <w:pPr>
              <w:spacing w:after="40" w:before="40"/>
            </w:pPr>
            <w:r>
              <w:rPr>
                <w:sz w:val="20"/>
              </w:rPr>
              <w:t>Still breastfeeding at 6 months</w:t>
            </w:r>
          </w:p>
        </w:tc>
        <w:tc>
          <w:tcPr>
            <w:tcW w:type="dxa" w:w="3312"/>
          </w:tcPr>
          <w:p>
            <w:pPr>
              <w:spacing w:after="40" w:before="40"/>
            </w:pPr>
            <w:r>
              <w:rPr>
                <w:sz w:val="20"/>
              </w:rPr>
              <w:t>62.1%</w:t>
            </w:r>
          </w:p>
        </w:tc>
        <w:tc>
          <w:tcPr>
            <w:tcW w:type="dxa" w:w="2160"/>
          </w:tcPr>
          <w:p>
            <w:pPr>
              <w:spacing w:after="40" w:before="40"/>
            </w:pPr>
            <w:r>
              <w:rPr>
                <w:sz w:val="20"/>
              </w:rPr>
              <w:t>CDC, infants born 2022</w:t>
            </w:r>
          </w:p>
        </w:tc>
      </w:tr>
      <w:tr>
        <w:tc>
          <w:tcPr>
            <w:tcW w:type="dxa" w:w="3888"/>
            <w:shd w:val="clear" w:color="auto" w:fill="EEF2F6"/>
          </w:tcPr>
          <w:p>
            <w:pPr>
              <w:spacing w:after="40" w:before="40"/>
            </w:pPr>
            <w:r>
              <w:rPr>
                <w:sz w:val="20"/>
              </w:rPr>
              <w:t>Exclusive breastfeeding at 6 months</w:t>
            </w:r>
          </w:p>
        </w:tc>
        <w:tc>
          <w:tcPr>
            <w:tcW w:type="dxa" w:w="3312"/>
            <w:shd w:val="clear" w:color="auto" w:fill="EEF2F6"/>
          </w:tcPr>
          <w:p>
            <w:pPr>
              <w:spacing w:after="40" w:before="40"/>
            </w:pPr>
            <w:r>
              <w:rPr>
                <w:sz w:val="20"/>
              </w:rPr>
              <w:t>27.9%</w:t>
            </w:r>
          </w:p>
        </w:tc>
        <w:tc>
          <w:tcPr>
            <w:tcW w:type="dxa" w:w="2160"/>
            <w:shd w:val="clear" w:color="auto" w:fill="EEF2F6"/>
          </w:tcPr>
          <w:p>
            <w:pPr>
              <w:spacing w:after="40" w:before="40"/>
            </w:pPr>
            <w:r>
              <w:rPr>
                <w:sz w:val="20"/>
              </w:rPr>
              <w:t>CDC, infants born 2022</w:t>
            </w:r>
          </w:p>
        </w:tc>
      </w:tr>
      <w:tr>
        <w:tc>
          <w:tcPr>
            <w:tcW w:type="dxa" w:w="3888"/>
          </w:tcPr>
          <w:p>
            <w:pPr>
              <w:spacing w:after="40" w:before="40"/>
            </w:pPr>
            <w:r>
              <w:rPr>
                <w:sz w:val="20"/>
              </w:rPr>
              <w:t>Women heavier at 1 yr postpartum than pre-pregnancy</w:t>
            </w:r>
          </w:p>
        </w:tc>
        <w:tc>
          <w:tcPr>
            <w:tcW w:type="dxa" w:w="3312"/>
          </w:tcPr>
          <w:p>
            <w:pPr>
              <w:spacing w:after="40" w:before="40"/>
            </w:pPr>
            <w:r>
              <w:rPr>
                <w:sz w:val="20"/>
              </w:rPr>
              <w:t>~75%</w:t>
            </w:r>
          </w:p>
        </w:tc>
        <w:tc>
          <w:tcPr>
            <w:tcW w:type="dxa" w:w="2160"/>
          </w:tcPr>
          <w:p>
            <w:pPr>
              <w:spacing w:after="40" w:before="40"/>
            </w:pPr>
            <w:r>
              <w:rPr>
                <w:sz w:val="20"/>
              </w:rPr>
              <w:t>AJOG cohort research</w:t>
            </w:r>
          </w:p>
        </w:tc>
      </w:tr>
      <w:tr>
        <w:tc>
          <w:tcPr>
            <w:tcW w:type="dxa" w:w="3888"/>
            <w:shd w:val="clear" w:color="auto" w:fill="EEF2F6"/>
          </w:tcPr>
          <w:p>
            <w:pPr>
              <w:spacing w:after="40" w:before="40"/>
            </w:pPr>
            <w:r>
              <w:rPr>
                <w:sz w:val="20"/>
              </w:rPr>
              <w:t>Retain &gt;10 lbs at 1 year</w:t>
            </w:r>
          </w:p>
        </w:tc>
        <w:tc>
          <w:tcPr>
            <w:tcW w:type="dxa" w:w="3312"/>
            <w:shd w:val="clear" w:color="auto" w:fill="EEF2F6"/>
          </w:tcPr>
          <w:p>
            <w:pPr>
              <w:spacing w:after="40" w:before="40"/>
            </w:pPr>
            <w:r>
              <w:rPr>
                <w:sz w:val="20"/>
              </w:rPr>
              <w:t>47.4%</w:t>
            </w:r>
          </w:p>
        </w:tc>
        <w:tc>
          <w:tcPr>
            <w:tcW w:type="dxa" w:w="2160"/>
            <w:shd w:val="clear" w:color="auto" w:fill="EEF2F6"/>
          </w:tcPr>
          <w:p>
            <w:pPr>
              <w:spacing w:after="40" w:before="40"/>
            </w:pPr>
            <w:r>
              <w:rPr>
                <w:sz w:val="20"/>
              </w:rPr>
              <w:t>AJOG cohort research</w:t>
            </w:r>
          </w:p>
        </w:tc>
      </w:tr>
      <w:tr>
        <w:tc>
          <w:tcPr>
            <w:tcW w:type="dxa" w:w="3888"/>
          </w:tcPr>
          <w:p>
            <w:pPr>
              <w:spacing w:after="40" w:before="40"/>
            </w:pPr>
            <w:r>
              <w:rPr>
                <w:sz w:val="20"/>
              </w:rPr>
              <w:t>Retain &gt;20 lbs at 1 year</w:t>
            </w:r>
          </w:p>
        </w:tc>
        <w:tc>
          <w:tcPr>
            <w:tcW w:type="dxa" w:w="3312"/>
          </w:tcPr>
          <w:p>
            <w:pPr>
              <w:spacing w:after="40" w:before="40"/>
            </w:pPr>
            <w:r>
              <w:rPr>
                <w:sz w:val="20"/>
              </w:rPr>
              <w:t>24.2%</w:t>
            </w:r>
          </w:p>
        </w:tc>
        <w:tc>
          <w:tcPr>
            <w:tcW w:type="dxa" w:w="2160"/>
          </w:tcPr>
          <w:p>
            <w:pPr>
              <w:spacing w:after="40" w:before="40"/>
            </w:pPr>
            <w:r>
              <w:rPr>
                <w:sz w:val="20"/>
              </w:rPr>
              <w:t>AJOG cohort research</w:t>
            </w:r>
          </w:p>
        </w:tc>
      </w:tr>
      <w:tr>
        <w:tc>
          <w:tcPr>
            <w:tcW w:type="dxa" w:w="3888"/>
            <w:shd w:val="clear" w:color="auto" w:fill="EEF2F6"/>
          </w:tcPr>
          <w:p>
            <w:pPr>
              <w:spacing w:after="40" w:before="40"/>
            </w:pPr>
            <w:r>
              <w:rPr>
                <w:sz w:val="20"/>
              </w:rPr>
              <w:t>Mean 1-year weight retention</w:t>
            </w:r>
          </w:p>
        </w:tc>
        <w:tc>
          <w:tcPr>
            <w:tcW w:type="dxa" w:w="3312"/>
            <w:shd w:val="clear" w:color="auto" w:fill="EEF2F6"/>
          </w:tcPr>
          <w:p>
            <w:pPr>
              <w:spacing w:after="40" w:before="40"/>
            </w:pPr>
            <w:r>
              <w:rPr>
                <w:sz w:val="20"/>
              </w:rPr>
              <w:t>~11 lbs</w:t>
            </w:r>
          </w:p>
        </w:tc>
        <w:tc>
          <w:tcPr>
            <w:tcW w:type="dxa" w:w="2160"/>
            <w:shd w:val="clear" w:color="auto" w:fill="EEF2F6"/>
          </w:tcPr>
          <w:p>
            <w:pPr>
              <w:spacing w:after="40" w:before="40"/>
            </w:pPr>
            <w:r>
              <w:rPr>
                <w:sz w:val="20"/>
              </w:rPr>
              <w:t>AJOG cohort research</w:t>
            </w:r>
          </w:p>
        </w:tc>
      </w:tr>
    </w:tbl>
    <w:p>
      <w:pPr>
        <w:spacing w:after="120" w:before="0"/>
      </w:pPr>
    </w:p>
    <w:p>
      <w:pPr>
        <w:spacing w:after="160" w:before="0"/>
      </w:pPr>
      <w:r>
        <w:rPr>
          <w:b w:val="0"/>
          <w:i w:val="0"/>
          <w:sz w:val="22"/>
        </w:rPr>
        <w:t>Interpretation: each year roughly 3.1 million US women begin breastfeeding, and about 1.9 million are still nursing at six months — precisely the window when weight-loss intent collides with milk-supply anxiety. Postpartum weight retention is not a niche complaint; it is the statistical majority experience.</w:t>
      </w:r>
    </w:p>
    <w:p>
      <w:pPr>
        <w:pStyle w:val="Heading2"/>
      </w:pPr>
      <w:r>
        <w:t>2.2 App market sizing</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888"/>
            <w:shd w:val="clear" w:color="auto" w:fill="1F3A5F"/>
          </w:tcPr>
          <w:p>
            <w:pPr>
              <w:spacing w:after="40" w:before="40"/>
            </w:pPr>
            <w:r>
              <w:rPr>
                <w:b/>
                <w:color w:val="FFFFFF"/>
                <w:sz w:val="20"/>
              </w:rPr>
              <w:t>Market layer</w:t>
            </w:r>
          </w:p>
        </w:tc>
        <w:tc>
          <w:tcPr>
            <w:tcW w:type="dxa" w:w="3312"/>
            <w:shd w:val="clear" w:color="auto" w:fill="1F3A5F"/>
          </w:tcPr>
          <w:p>
            <w:pPr>
              <w:spacing w:after="40" w:before="40"/>
            </w:pPr>
            <w:r>
              <w:rPr>
                <w:b/>
                <w:color w:val="FFFFFF"/>
                <w:sz w:val="20"/>
              </w:rPr>
              <w:t>Size</w:t>
            </w:r>
          </w:p>
        </w:tc>
        <w:tc>
          <w:tcPr>
            <w:tcW w:type="dxa" w:w="2160"/>
            <w:shd w:val="clear" w:color="auto" w:fill="1F3A5F"/>
          </w:tcPr>
          <w:p>
            <w:pPr>
              <w:spacing w:after="40" w:before="40"/>
            </w:pPr>
            <w:r>
              <w:rPr>
                <w:b/>
                <w:color w:val="FFFFFF"/>
                <w:sz w:val="20"/>
              </w:rPr>
              <w:t>Growth</w:t>
            </w:r>
          </w:p>
        </w:tc>
      </w:tr>
      <w:tr>
        <w:tc>
          <w:tcPr>
            <w:tcW w:type="dxa" w:w="3888"/>
          </w:tcPr>
          <w:p>
            <w:pPr>
              <w:spacing w:after="40" w:before="40"/>
            </w:pPr>
            <w:r>
              <w:rPr>
                <w:sz w:val="20"/>
              </w:rPr>
              <w:t>Global femtech (all)</w:t>
            </w:r>
          </w:p>
        </w:tc>
        <w:tc>
          <w:tcPr>
            <w:tcW w:type="dxa" w:w="3312"/>
          </w:tcPr>
          <w:p>
            <w:pPr>
              <w:spacing w:after="40" w:before="40"/>
            </w:pPr>
            <w:r>
              <w:rPr>
                <w:sz w:val="20"/>
              </w:rPr>
              <w:t>$46–66B (2025, estimates vary by scope)</w:t>
            </w:r>
          </w:p>
        </w:tc>
        <w:tc>
          <w:tcPr>
            <w:tcW w:type="dxa" w:w="2160"/>
          </w:tcPr>
          <w:p>
            <w:pPr>
              <w:spacing w:after="40" w:before="40"/>
            </w:pPr>
            <w:r>
              <w:rPr>
                <w:sz w:val="20"/>
              </w:rPr>
              <w:t>~14.9% CAGR to 2035</w:t>
            </w:r>
          </w:p>
        </w:tc>
      </w:tr>
      <w:tr>
        <w:tc>
          <w:tcPr>
            <w:tcW w:type="dxa" w:w="3888"/>
            <w:shd w:val="clear" w:color="auto" w:fill="EEF2F6"/>
          </w:tcPr>
          <w:p>
            <w:pPr>
              <w:spacing w:after="40" w:before="40"/>
            </w:pPr>
            <w:r>
              <w:rPr>
                <w:sz w:val="20"/>
              </w:rPr>
              <w:t>Pregnancy tracking &amp; postpartum care apps (global)</w:t>
            </w:r>
          </w:p>
        </w:tc>
        <w:tc>
          <w:tcPr>
            <w:tcW w:type="dxa" w:w="3312"/>
            <w:shd w:val="clear" w:color="auto" w:fill="EEF2F6"/>
          </w:tcPr>
          <w:p>
            <w:pPr>
              <w:spacing w:after="40" w:before="40"/>
            </w:pPr>
            <w:r>
              <w:rPr>
                <w:sz w:val="20"/>
              </w:rPr>
              <w:t>$938M (2024)</w:t>
            </w:r>
          </w:p>
        </w:tc>
        <w:tc>
          <w:tcPr>
            <w:tcW w:type="dxa" w:w="2160"/>
            <w:shd w:val="clear" w:color="auto" w:fill="EEF2F6"/>
          </w:tcPr>
          <w:p>
            <w:pPr>
              <w:spacing w:after="40" w:before="40"/>
            </w:pPr>
            <w:r>
              <w:rPr>
                <w:sz w:val="20"/>
              </w:rPr>
              <w:t>16.1% CAGR → ~$2.5B by 2030</w:t>
            </w:r>
          </w:p>
        </w:tc>
      </w:tr>
      <w:tr>
        <w:tc>
          <w:tcPr>
            <w:tcW w:type="dxa" w:w="3888"/>
          </w:tcPr>
          <w:p>
            <w:pPr>
              <w:spacing w:after="40" w:before="40"/>
            </w:pPr>
            <w:r>
              <w:rPr>
                <w:sz w:val="20"/>
              </w:rPr>
              <w:t>North America share of that segment</w:t>
            </w:r>
          </w:p>
        </w:tc>
        <w:tc>
          <w:tcPr>
            <w:tcW w:type="dxa" w:w="3312"/>
          </w:tcPr>
          <w:p>
            <w:pPr>
              <w:spacing w:after="40" w:before="40"/>
            </w:pPr>
            <w:r>
              <w:rPr>
                <w:sz w:val="20"/>
              </w:rPr>
              <w:t>~38% (largest region)</w:t>
            </w:r>
          </w:p>
        </w:tc>
        <w:tc>
          <w:tcPr>
            <w:tcW w:type="dxa" w:w="2160"/>
          </w:tcPr>
          <w:p>
            <w:pPr>
              <w:spacing w:after="40" w:before="40"/>
            </w:pPr>
            <w:r>
              <w:rPr>
                <w:sz w:val="20"/>
              </w:rPr>
              <w:t>—</w:t>
            </w:r>
          </w:p>
        </w:tc>
      </w:tr>
      <w:tr>
        <w:tc>
          <w:tcPr>
            <w:tcW w:type="dxa" w:w="3888"/>
            <w:shd w:val="clear" w:color="auto" w:fill="EEF2F6"/>
          </w:tcPr>
          <w:p>
            <w:pPr>
              <w:spacing w:after="40" w:before="40"/>
            </w:pPr>
            <w:r>
              <w:rPr>
                <w:sz w:val="20"/>
              </w:rPr>
              <w:t>US weight-loss market (all modalities)</w:t>
            </w:r>
          </w:p>
        </w:tc>
        <w:tc>
          <w:tcPr>
            <w:tcW w:type="dxa" w:w="3312"/>
            <w:shd w:val="clear" w:color="auto" w:fill="EEF2F6"/>
          </w:tcPr>
          <w:p>
            <w:pPr>
              <w:spacing w:after="40" w:before="40"/>
            </w:pPr>
            <w:r>
              <w:rPr>
                <w:sz w:val="20"/>
              </w:rPr>
              <w:t>$135B (2025 peak)</w:t>
            </w:r>
          </w:p>
        </w:tc>
        <w:tc>
          <w:tcPr>
            <w:tcW w:type="dxa" w:w="2160"/>
            <w:shd w:val="clear" w:color="auto" w:fill="EEF2F6"/>
          </w:tcPr>
          <w:p>
            <w:pPr>
              <w:spacing w:after="40" w:before="40"/>
            </w:pPr>
            <w:r>
              <w:rPr>
                <w:sz w:val="20"/>
              </w:rPr>
              <w:t>Shifting to medicalized programs</w:t>
            </w:r>
          </w:p>
        </w:tc>
      </w:tr>
    </w:tbl>
    <w:p>
      <w:pPr>
        <w:spacing w:after="120" w:before="0"/>
      </w:pPr>
    </w:p>
    <w:p>
      <w:pPr>
        <w:pStyle w:val="Heading2"/>
      </w:pPr>
      <w:r>
        <w:t>2.3 TAM / SAM / SOM (bottom-up, US)</w:t>
      </w:r>
    </w:p>
    <w:p>
      <w:pPr>
        <w:spacing w:after="160" w:before="0"/>
      </w:pPr>
      <w:r>
        <w:rPr>
          <w:b w:val="0"/>
          <w:i w:val="0"/>
          <w:sz w:val="22"/>
        </w:rPr>
        <w:t>Top-down segment figures above are investor context. The honest bottom-up view:</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296"/>
            <w:shd w:val="clear" w:color="auto" w:fill="1F3A5F"/>
          </w:tcPr>
          <w:p>
            <w:pPr>
              <w:spacing w:after="40" w:before="40"/>
            </w:pPr>
            <w:r>
              <w:rPr>
                <w:b/>
                <w:color w:val="FFFFFF"/>
                <w:sz w:val="20"/>
              </w:rPr>
              <w:t>Layer</w:t>
            </w:r>
          </w:p>
        </w:tc>
        <w:tc>
          <w:tcPr>
            <w:tcW w:type="dxa" w:w="3312"/>
            <w:shd w:val="clear" w:color="auto" w:fill="1F3A5F"/>
          </w:tcPr>
          <w:p>
            <w:pPr>
              <w:spacing w:after="40" w:before="40"/>
            </w:pPr>
            <w:r>
              <w:rPr>
                <w:b/>
                <w:color w:val="FFFFFF"/>
                <w:sz w:val="20"/>
              </w:rPr>
              <w:t>Definition</w:t>
            </w:r>
          </w:p>
        </w:tc>
        <w:tc>
          <w:tcPr>
            <w:tcW w:type="dxa" w:w="3312"/>
            <w:shd w:val="clear" w:color="auto" w:fill="1F3A5F"/>
          </w:tcPr>
          <w:p>
            <w:pPr>
              <w:spacing w:after="40" w:before="40"/>
            </w:pPr>
            <w:r>
              <w:rPr>
                <w:b/>
                <w:color w:val="FFFFFF"/>
                <w:sz w:val="20"/>
              </w:rPr>
              <w:t>Math</w:t>
            </w:r>
          </w:p>
        </w:tc>
        <w:tc>
          <w:tcPr>
            <w:tcW w:type="dxa" w:w="1440"/>
            <w:shd w:val="clear" w:color="auto" w:fill="1F3A5F"/>
          </w:tcPr>
          <w:p>
            <w:pPr>
              <w:spacing w:after="40" w:before="40"/>
            </w:pPr>
            <w:r>
              <w:rPr>
                <w:b/>
                <w:color w:val="FFFFFF"/>
                <w:sz w:val="20"/>
              </w:rPr>
              <w:t>Value</w:t>
            </w:r>
          </w:p>
        </w:tc>
      </w:tr>
      <w:tr>
        <w:tc>
          <w:tcPr>
            <w:tcW w:type="dxa" w:w="1296"/>
          </w:tcPr>
          <w:p>
            <w:pPr>
              <w:spacing w:after="40" w:before="40"/>
            </w:pPr>
            <w:r>
              <w:rPr>
                <w:sz w:val="20"/>
              </w:rPr>
              <w:t>TAM</w:t>
            </w:r>
          </w:p>
        </w:tc>
        <w:tc>
          <w:tcPr>
            <w:tcW w:type="dxa" w:w="3312"/>
          </w:tcPr>
          <w:p>
            <w:pPr>
              <w:spacing w:after="40" w:before="40"/>
            </w:pPr>
            <w:r>
              <w:rPr>
                <w:sz w:val="20"/>
              </w:rPr>
              <w:t>US postpartum women (0–24 mo) open to a paid health app</w:t>
            </w:r>
          </w:p>
        </w:tc>
        <w:tc>
          <w:tcPr>
            <w:tcW w:type="dxa" w:w="3312"/>
          </w:tcPr>
          <w:p>
            <w:pPr>
              <w:spacing w:after="40" w:before="40"/>
            </w:pPr>
            <w:r>
              <w:rPr>
                <w:sz w:val="20"/>
              </w:rPr>
              <w:t>~7.2M women in window × $120/yr</w:t>
            </w:r>
          </w:p>
        </w:tc>
        <w:tc>
          <w:tcPr>
            <w:tcW w:type="dxa" w:w="1440"/>
          </w:tcPr>
          <w:p>
            <w:pPr>
              <w:spacing w:after="40" w:before="40"/>
            </w:pPr>
            <w:r>
              <w:rPr>
                <w:sz w:val="20"/>
              </w:rPr>
              <w:t>~$860M/yr theoretical</w:t>
            </w:r>
          </w:p>
        </w:tc>
      </w:tr>
      <w:tr>
        <w:tc>
          <w:tcPr>
            <w:tcW w:type="dxa" w:w="1296"/>
            <w:shd w:val="clear" w:color="auto" w:fill="EEF2F6"/>
          </w:tcPr>
          <w:p>
            <w:pPr>
              <w:spacing w:after="40" w:before="40"/>
            </w:pPr>
            <w:r>
              <w:rPr>
                <w:sz w:val="20"/>
              </w:rPr>
              <w:t>SAM</w:t>
            </w:r>
          </w:p>
        </w:tc>
        <w:tc>
          <w:tcPr>
            <w:tcW w:type="dxa" w:w="3312"/>
            <w:shd w:val="clear" w:color="auto" w:fill="EEF2F6"/>
          </w:tcPr>
          <w:p>
            <w:pPr>
              <w:spacing w:after="40" w:before="40"/>
            </w:pPr>
            <w:r>
              <w:rPr>
                <w:sz w:val="20"/>
              </w:rPr>
              <w:t>Nursing mothers actively seeking weight/fitness help</w:t>
            </w:r>
          </w:p>
        </w:tc>
        <w:tc>
          <w:tcPr>
            <w:tcW w:type="dxa" w:w="3312"/>
            <w:shd w:val="clear" w:color="auto" w:fill="EEF2F6"/>
          </w:tcPr>
          <w:p>
            <w:pPr>
              <w:spacing w:after="40" w:before="40"/>
            </w:pPr>
            <w:r>
              <w:rPr>
                <w:sz w:val="20"/>
              </w:rPr>
              <w:t>3.1M annual cohort × ~50% in-market × $120/yr</w:t>
            </w:r>
          </w:p>
        </w:tc>
        <w:tc>
          <w:tcPr>
            <w:tcW w:type="dxa" w:w="1440"/>
            <w:shd w:val="clear" w:color="auto" w:fill="EEF2F6"/>
          </w:tcPr>
          <w:p>
            <w:pPr>
              <w:spacing w:after="40" w:before="40"/>
            </w:pPr>
            <w:r>
              <w:rPr>
                <w:sz w:val="20"/>
              </w:rPr>
              <w:t>~$180M/yr</w:t>
            </w:r>
          </w:p>
        </w:tc>
      </w:tr>
      <w:tr>
        <w:tc>
          <w:tcPr>
            <w:tcW w:type="dxa" w:w="1296"/>
          </w:tcPr>
          <w:p>
            <w:pPr>
              <w:spacing w:after="40" w:before="40"/>
            </w:pPr>
            <w:r>
              <w:rPr>
                <w:sz w:val="20"/>
              </w:rPr>
              <w:t>SOM (yr 1)</w:t>
            </w:r>
          </w:p>
        </w:tc>
        <w:tc>
          <w:tcPr>
            <w:tcW w:type="dxa" w:w="3312"/>
          </w:tcPr>
          <w:p>
            <w:pPr>
              <w:spacing w:after="40" w:before="40"/>
            </w:pPr>
            <w:r>
              <w:rPr>
                <w:sz w:val="20"/>
              </w:rPr>
              <w:t>Realistic capture via influencer + organic</w:t>
            </w:r>
          </w:p>
        </w:tc>
        <w:tc>
          <w:tcPr>
            <w:tcW w:type="dxa" w:w="3312"/>
          </w:tcPr>
          <w:p>
            <w:pPr>
              <w:spacing w:after="40" w:before="40"/>
            </w:pPr>
            <w:r>
              <w:rPr>
                <w:sz w:val="20"/>
              </w:rPr>
              <w:t>10–25K subscribers × ~$100–120 effective/yr</w:t>
            </w:r>
          </w:p>
        </w:tc>
        <w:tc>
          <w:tcPr>
            <w:tcW w:type="dxa" w:w="1440"/>
          </w:tcPr>
          <w:p>
            <w:pPr>
              <w:spacing w:after="40" w:before="40"/>
            </w:pPr>
            <w:r>
              <w:rPr>
                <w:sz w:val="20"/>
              </w:rPr>
              <w:t>$1–3M ARR</w:t>
            </w:r>
          </w:p>
        </w:tc>
      </w:tr>
      <w:tr>
        <w:tc>
          <w:tcPr>
            <w:tcW w:type="dxa" w:w="1296"/>
            <w:shd w:val="clear" w:color="auto" w:fill="EEF2F6"/>
          </w:tcPr>
          <w:p>
            <w:pPr>
              <w:spacing w:after="40" w:before="40"/>
            </w:pPr>
            <w:r>
              <w:rPr>
                <w:sz w:val="20"/>
              </w:rPr>
              <w:t>SOM (yr 3)</w:t>
            </w:r>
          </w:p>
        </w:tc>
        <w:tc>
          <w:tcPr>
            <w:tcW w:type="dxa" w:w="3312"/>
            <w:shd w:val="clear" w:color="auto" w:fill="EEF2F6"/>
          </w:tcPr>
          <w:p>
            <w:pPr>
              <w:spacing w:after="40" w:before="40"/>
            </w:pPr>
            <w:r>
              <w:rPr>
                <w:sz w:val="20"/>
              </w:rPr>
              <w:t>Category leadership of the niche</w:t>
            </w:r>
          </w:p>
        </w:tc>
        <w:tc>
          <w:tcPr>
            <w:tcW w:type="dxa" w:w="3312"/>
            <w:shd w:val="clear" w:color="auto" w:fill="EEF2F6"/>
          </w:tcPr>
          <w:p>
            <w:pPr>
              <w:spacing w:after="40" w:before="40"/>
            </w:pPr>
            <w:r>
              <w:rPr>
                <w:sz w:val="20"/>
              </w:rPr>
              <w:t>75–150K subscribers</w:t>
            </w:r>
          </w:p>
        </w:tc>
        <w:tc>
          <w:tcPr>
            <w:tcW w:type="dxa" w:w="1440"/>
            <w:shd w:val="clear" w:color="auto" w:fill="EEF2F6"/>
          </w:tcPr>
          <w:p>
            <w:pPr>
              <w:spacing w:after="40" w:before="40"/>
            </w:pPr>
            <w:r>
              <w:rPr>
                <w:sz w:val="20"/>
              </w:rPr>
              <w:t>$9–18M ARR</w:t>
            </w:r>
          </w:p>
        </w:tc>
      </w:tr>
    </w:tbl>
    <w:p>
      <w:pPr>
        <w:spacing w:after="120" w:before="0"/>
      </w:pPr>
    </w:p>
    <w:p>
      <w:pPr>
        <w:spacing w:after="160" w:before="0"/>
      </w:pPr>
      <w:r>
        <w:rPr>
          <w:b w:val="0"/>
          <w:i w:val="0"/>
          <w:sz w:val="22"/>
        </w:rPr>
        <w:t>Assumptions: $9.99/mo blended effective pricing (annual discounts included); “in-market” estimated from the 75% weight-retention rate discounted for intent and ability to pay; year-one capture assumes a working influencer channel (Section 9). These are planning figures, not promises; sensitivity is dominated by conversion rate and month-6 retention.</w:t>
      </w:r>
    </w:p>
    <w:p>
      <w:r>
        <w:br w:type="page"/>
      </w:r>
    </w:p>
    <w:p>
      <w:pPr>
        <w:pStyle w:val="Heading1"/>
      </w:pPr>
      <w:r>
        <w:t>3. The GLP-1 Reshuffle: Why Timing Favors This Niche</w:t>
      </w:r>
    </w:p>
    <w:p>
      <w:pPr>
        <w:spacing w:after="160" w:before="0"/>
      </w:pPr>
      <w:r>
        <w:rPr>
          <w:b w:val="0"/>
          <w:i w:val="0"/>
          <w:sz w:val="22"/>
        </w:rPr>
        <w:t>The single most important structural fact about the 2026 weight-loss market is pharmaceutical. GLP-1 therapies (semaglutide, tirzepatide) generated approximately $132B in 2025 sales, up 33.5% year over year. The commercial diet industry is being remade around them: nearly all non-medical segments are shrinking, an estimated 26,000+ weight-loss coaches have lost jobs, and legacy players have pivoted to prescribing (WeightWatchers Clinic, Noom Med). A generic calorie-counting app is now competing with a drug.</w:t>
      </w:r>
    </w:p>
    <w:p>
      <w:pPr>
        <w:spacing w:after="160" w:before="0"/>
      </w:pPr>
      <w:r>
        <w:rPr>
          <w:b w:val="0"/>
          <w:i w:val="0"/>
          <w:sz w:val="22"/>
        </w:rPr>
        <w:t>Breastfeeding changes the calculus entirely:</w:t>
      </w:r>
    </w:p>
    <w:p>
      <w:pPr>
        <w:pStyle w:val="ListBullet"/>
        <w:spacing w:after="100"/>
      </w:pPr>
      <w:r>
        <w:rPr>
          <w:b w:val="0"/>
          <w:i w:val="0"/>
          <w:sz w:val="22"/>
        </w:rPr>
        <w:t>Clinical guidance does not recommend GLP-1s while nursing. Trials exclude lactating women; data on milk transfer is thin; appetite suppression itself threatens milk supply. Standard advice: wait until breastfeeding concludes.</w:t>
      </w:r>
    </w:p>
    <w:p>
      <w:pPr>
        <w:pStyle w:val="ListBullet"/>
        <w:spacing w:after="100"/>
      </w:pPr>
      <w:r>
        <w:rPr>
          <w:b w:val="0"/>
          <w:i w:val="0"/>
          <w:sz w:val="22"/>
        </w:rPr>
        <w:t>That creates a 6–18+ month protected window per mother in which behavioral nutrition is not the budget option but the only recommended option.</w:t>
      </w:r>
    </w:p>
    <w:p>
      <w:pPr>
        <w:pStyle w:val="ListBullet"/>
        <w:spacing w:after="100"/>
      </w:pPr>
      <w:r>
        <w:rPr>
          <w:b w:val="0"/>
          <w:i w:val="0"/>
          <w:sz w:val="22"/>
        </w:rPr>
        <w:t>The audience refreshes itself: ~3.1M new entrants annually in the US alone, immune to the cohort-depletion problem killing general diet apps.</w:t>
      </w:r>
    </w:p>
    <w:p>
      <w:pPr>
        <w:pStyle w:val="ListBullet"/>
        <w:spacing w:after="100"/>
      </w:pPr>
      <w:r>
        <w:rPr>
          <w:b w:val="0"/>
          <w:i w:val="0"/>
          <w:sz w:val="22"/>
        </w:rPr>
        <w:t>Post-weaning, the app holds the relationship and the data — positioned either to support a GLP-1 transition (partnership/referral revenue) or to retain the user through a maintenance program.</w:t>
      </w:r>
    </w:p>
    <w:tbl>
      <w:tblPr>
        <w:tblW w:type="auto" w:w="0"/>
        <w:tblLayout w:type="fixed"/>
        <w:tblLook w:firstColumn="1" w:firstRow="1" w:lastColumn="0" w:lastRow="0" w:noHBand="0" w:noVBand="1" w:val="04A0"/>
        <w:tblBorders>
          <w:top w:val="single" w:sz="4" w:space="0" w:color="2E7D6E"/>
          <w:left w:val="single" w:sz="4" w:space="0" w:color="2E7D6E"/>
          <w:bottom w:val="single" w:sz="4" w:space="0" w:color="2E7D6E"/>
          <w:right w:val="single" w:sz="4" w:space="0" w:color="2E7D6E"/>
          <w:insideH w:val="single" w:sz="4" w:space="0" w:color="2E7D6E"/>
          <w:insideV w:val="single" w:sz="4" w:space="0" w:color="2E7D6E"/>
        </w:tblBorders>
      </w:tblPr>
      <w:tblGrid>
        <w:gridCol w:w="9360"/>
      </w:tblGrid>
      <w:tr>
        <w:tc>
          <w:tcPr>
            <w:tcW w:type="dxa" w:w="9360"/>
            <w:shd w:val="clear" w:color="auto" w:fill="F0F7F5"/>
          </w:tcPr>
          <w:p>
            <w:pPr>
              <w:spacing w:after="80" w:before="40"/>
            </w:pPr>
            <w:r>
              <w:rPr>
                <w:b/>
                <w:color w:val="2E7D6E"/>
                <w:sz w:val="22"/>
              </w:rPr>
              <w:t>Strategic framing</w:t>
            </w:r>
          </w:p>
          <w:p>
            <w:pPr>
              <w:spacing w:after="40"/>
            </w:pPr>
            <w:r>
              <w:rPr>
                <w:sz w:val="22"/>
              </w:rPr>
              <w:t>Every venture story needs a “why now.” This is it: GLP-1s wiped out the generalist competition's economics while leaving nursing mothers unserved — a large, self-renewing, drug-protected niche with genuine clinical need for guardrails rather than generic deficits.</w:t>
            </w:r>
          </w:p>
        </w:tc>
      </w:tr>
    </w:tbl>
    <w:p>
      <w:pPr>
        <w:spacing w:after="120" w:before="0"/>
      </w:pPr>
    </w:p>
    <w:p>
      <w:r>
        <w:br w:type="page"/>
      </w:r>
    </w:p>
    <w:p>
      <w:pPr>
        <w:pStyle w:val="Heading1"/>
      </w:pPr>
      <w:r>
        <w:t>4. Target Customer &amp; Demand Evidence</w:t>
      </w:r>
    </w:p>
    <w:p>
      <w:pPr>
        <w:pStyle w:val="Heading2"/>
      </w:pPr>
      <w:r>
        <w:t>4.1 Primary persona</w:t>
      </w:r>
    </w:p>
    <w:p>
      <w:pPr>
        <w:spacing w:after="160" w:before="0"/>
      </w:pPr>
      <w:r>
        <w:rPr>
          <w:b w:val="0"/>
          <w:i w:val="0"/>
          <w:sz w:val="22"/>
        </w:rPr>
        <w:t>A woman 25–40, 2–12 months postpartum, breastfeeding or pumping, retaining 10–25 lbs she wants gone. She is exhausted, time-poor (workouts must fit nap windows), anxious about milk supply, and skeptical of diet culture but privately motivated. She discovered her current tools fail her: MyFitnessPal assigned her a 1,200-calorie target that tanked her supply, and her OB gave her one 6-week appointment and a pamphlet. She spends heavily on TikTok and Instagram, where postpartum fitness creators with 300K+ followings shape her purchase decisions.</w:t>
      </w:r>
    </w:p>
    <w:p>
      <w:pPr>
        <w:pStyle w:val="Heading2"/>
      </w:pPr>
      <w:r>
        <w:t>4.2 Demand signals found in research</w:t>
      </w:r>
    </w:p>
    <w:p>
      <w:pPr>
        <w:pStyle w:val="ListBullet"/>
        <w:spacing w:after="100"/>
      </w:pPr>
      <w:r>
        <w:rPr>
          <w:b/>
          <w:i w:val="0"/>
          <w:sz w:val="22"/>
        </w:rPr>
        <w:t xml:space="preserve">Forum evidence: </w:t>
      </w:r>
      <w:r>
        <w:rPr>
          <w:b w:val="0"/>
          <w:i w:val="0"/>
          <w:sz w:val="22"/>
        </w:rPr>
        <w:t>long-running MyFitnessPal and The Bump threads asking why there is no nursing setting, with users manually logging “breastfeeding” as a −500 kcal food — a workaround so common it is community folklore. Unprompted workarounds are the strongest organic demand signal available.</w:t>
      </w:r>
    </w:p>
    <w:p>
      <w:pPr>
        <w:pStyle w:val="ListBullet"/>
        <w:spacing w:after="100"/>
      </w:pPr>
      <w:r>
        <w:rPr>
          <w:b/>
          <w:i w:val="0"/>
          <w:sz w:val="22"/>
        </w:rPr>
        <w:t xml:space="preserve">Micro-competitor swarm: </w:t>
      </w:r>
      <w:r>
        <w:rPr>
          <w:b w:val="0"/>
          <w:i w:val="0"/>
          <w:sz w:val="22"/>
        </w:rPr>
        <w:t>the App Store's “You Might Also Like” for LatchFit surfaces a cluster of tiny new entrants (Mommie pregnancy nutrition, NourishWise postpartum diet, FitMama, multiple pump-log apps) — indie developers detect the same gap, and none has broken out.</w:t>
      </w:r>
    </w:p>
    <w:p>
      <w:pPr>
        <w:pStyle w:val="ListBullet"/>
        <w:spacing w:after="100"/>
      </w:pPr>
      <w:r>
        <w:rPr>
          <w:b/>
          <w:i w:val="0"/>
          <w:sz w:val="22"/>
        </w:rPr>
        <w:t xml:space="preserve">Creator economy pull: </w:t>
      </w:r>
      <w:r>
        <w:rPr>
          <w:b w:val="0"/>
          <w:i w:val="0"/>
          <w:sz w:val="22"/>
        </w:rPr>
        <w:t>postpartum fitness/weight-loss is an established MomTok content genre; weight-loss campaign case studies show 5.5M+ views across 90 creators and measurable LTV lifts from influencer channels.</w:t>
      </w:r>
    </w:p>
    <w:p>
      <w:pPr>
        <w:pStyle w:val="ListBullet"/>
        <w:spacing w:after="100"/>
      </w:pPr>
      <w:r>
        <w:rPr>
          <w:b/>
          <w:i w:val="0"/>
          <w:sz w:val="22"/>
        </w:rPr>
        <w:t xml:space="preserve">Clinical literature: </w:t>
      </w:r>
      <w:r>
        <w:rPr>
          <w:b w:val="0"/>
          <w:i w:val="0"/>
          <w:sz w:val="22"/>
        </w:rPr>
        <w:t>postpartum weight retention is an obesity-pipeline risk factor actively studied (LIFE-Moms trials and others), supporting credible “why it matters” messaging without medical claims.</w:t>
      </w:r>
    </w:p>
    <w:p>
      <w:pPr>
        <w:pStyle w:val="Heading2"/>
      </w:pPr>
      <w:r>
        <w:t>4.3 Jobs to be done</w:t>
      </w:r>
    </w:p>
    <w:p>
      <w:pPr>
        <w:spacing w:after="100"/>
        <w:ind w:left="432"/>
      </w:pPr>
      <w:r>
        <w:rPr>
          <w:b/>
          <w:color w:val="2E7D6E"/>
          <w:sz w:val="22"/>
        </w:rPr>
        <w:t xml:space="preserve">1. </w:t>
      </w:r>
      <w:r>
        <w:rPr>
          <w:sz w:val="22"/>
        </w:rPr>
        <w:t>Tell me how much to eat so I lose fat without losing milk supply.</w:t>
      </w:r>
    </w:p>
    <w:p>
      <w:pPr>
        <w:spacing w:after="100"/>
        <w:ind w:left="432"/>
      </w:pPr>
      <w:r>
        <w:rPr>
          <w:b/>
          <w:color w:val="2E7D6E"/>
          <w:sz w:val="22"/>
        </w:rPr>
        <w:t xml:space="preserve">2. </w:t>
      </w:r>
      <w:r>
        <w:rPr>
          <w:sz w:val="22"/>
        </w:rPr>
        <w:t>Tell me what exercise is safe for my body at this stage of healing.</w:t>
      </w:r>
    </w:p>
    <w:p>
      <w:pPr>
        <w:spacing w:after="100"/>
        <w:ind w:left="432"/>
      </w:pPr>
      <w:r>
        <w:rPr>
          <w:b/>
          <w:color w:val="2E7D6E"/>
          <w:sz w:val="22"/>
        </w:rPr>
        <w:t xml:space="preserve">3. </w:t>
      </w:r>
      <w:r>
        <w:rPr>
          <w:sz w:val="22"/>
        </w:rPr>
        <w:t>Show me progress that isn't just the scale, because the scale is demoralizing at 4 a.m.</w:t>
      </w:r>
    </w:p>
    <w:p>
      <w:pPr>
        <w:spacing w:after="100"/>
        <w:ind w:left="432"/>
      </w:pPr>
      <w:r>
        <w:rPr>
          <w:b/>
          <w:color w:val="2E7D6E"/>
          <w:sz w:val="22"/>
        </w:rPr>
        <w:t xml:space="preserve">4. </w:t>
      </w:r>
      <w:r>
        <w:rPr>
          <w:sz w:val="22"/>
        </w:rPr>
        <w:t>Make it one-handed, five minutes, and interruption-proof.</w:t>
      </w:r>
    </w:p>
    <w:p>
      <w:r>
        <w:br w:type="page"/>
      </w:r>
    </w:p>
    <w:p>
      <w:pPr>
        <w:pStyle w:val="Heading1"/>
      </w:pPr>
      <w:r>
        <w:t>5. Competitive Landscape</w:t>
      </w:r>
    </w:p>
    <w:p>
      <w:pPr>
        <w:pStyle w:val="Heading2"/>
      </w:pPr>
      <w:r>
        <w:t>5.1 Postpartum fitness apps (adjacent competitors)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872"/>
            <w:shd w:val="clear" w:color="auto" w:fill="1F3A5F"/>
          </w:tcPr>
          <w:p>
            <w:pPr>
              <w:spacing w:after="40" w:before="40"/>
            </w:pPr>
            <w:r>
              <w:rPr>
                <w:b/>
                <w:color w:val="FFFFFF"/>
                <w:sz w:val="20"/>
              </w:rPr>
              <w:t>App</w:t>
            </w:r>
          </w:p>
        </w:tc>
        <w:tc>
          <w:tcPr>
            <w:tcW w:type="dxa" w:w="2592"/>
            <w:shd w:val="clear" w:color="auto" w:fill="1F3A5F"/>
          </w:tcPr>
          <w:p>
            <w:pPr>
              <w:spacing w:after="40" w:before="40"/>
            </w:pPr>
            <w:r>
              <w:rPr>
                <w:b/>
                <w:color w:val="FFFFFF"/>
                <w:sz w:val="20"/>
              </w:rPr>
              <w:t>Focus</w:t>
            </w:r>
          </w:p>
        </w:tc>
        <w:tc>
          <w:tcPr>
            <w:tcW w:type="dxa" w:w="2160"/>
            <w:shd w:val="clear" w:color="auto" w:fill="1F3A5F"/>
          </w:tcPr>
          <w:p>
            <w:pPr>
              <w:spacing w:after="40" w:before="40"/>
            </w:pPr>
            <w:r>
              <w:rPr>
                <w:b/>
                <w:color w:val="FFFFFF"/>
                <w:sz w:val="20"/>
              </w:rPr>
              <w:t>Pricing</w:t>
            </w:r>
          </w:p>
        </w:tc>
        <w:tc>
          <w:tcPr>
            <w:tcW w:type="dxa" w:w="2736"/>
            <w:shd w:val="clear" w:color="auto" w:fill="1F3A5F"/>
          </w:tcPr>
          <w:p>
            <w:pPr>
              <w:spacing w:after="40" w:before="40"/>
            </w:pPr>
            <w:r>
              <w:rPr>
                <w:b/>
                <w:color w:val="FFFFFF"/>
                <w:sz w:val="20"/>
              </w:rPr>
              <w:t>Position / notes</w:t>
            </w:r>
          </w:p>
        </w:tc>
      </w:tr>
      <w:tr>
        <w:tc>
          <w:tcPr>
            <w:tcW w:type="dxa" w:w="1872"/>
          </w:tcPr>
          <w:p>
            <w:pPr>
              <w:spacing w:after="40" w:before="40"/>
            </w:pPr>
            <w:r>
              <w:rPr>
                <w:sz w:val="20"/>
              </w:rPr>
              <w:t>MUTU System</w:t>
            </w:r>
          </w:p>
        </w:tc>
        <w:tc>
          <w:tcPr>
            <w:tcW w:type="dxa" w:w="2592"/>
          </w:tcPr>
          <w:p>
            <w:pPr>
              <w:spacing w:after="40" w:before="40"/>
            </w:pPr>
            <w:r>
              <w:rPr>
                <w:sz w:val="20"/>
              </w:rPr>
              <w:t>Pelvic floor &amp; core rehab (12-wk)</w:t>
            </w:r>
          </w:p>
        </w:tc>
        <w:tc>
          <w:tcPr>
            <w:tcW w:type="dxa" w:w="2160"/>
          </w:tcPr>
          <w:p>
            <w:pPr>
              <w:spacing w:after="40" w:before="40"/>
            </w:pPr>
            <w:r>
              <w:rPr>
                <w:sz w:val="20"/>
              </w:rPr>
              <w:t>$28/mo or ~$152–190/yr</w:t>
            </w:r>
          </w:p>
        </w:tc>
        <w:tc>
          <w:tcPr>
            <w:tcW w:type="dxa" w:w="2736"/>
          </w:tcPr>
          <w:p>
            <w:pPr>
              <w:spacing w:after="40" w:before="40"/>
            </w:pPr>
            <w:r>
              <w:rPr>
                <w:sz w:val="20"/>
              </w:rPr>
              <w:t>NHS-endorsed, clinically validated; the credibility benchmark</w:t>
            </w:r>
          </w:p>
        </w:tc>
      </w:tr>
      <w:tr>
        <w:tc>
          <w:tcPr>
            <w:tcW w:type="dxa" w:w="1872"/>
            <w:shd w:val="clear" w:color="auto" w:fill="EEF2F6"/>
          </w:tcPr>
          <w:p>
            <w:pPr>
              <w:spacing w:after="40" w:before="40"/>
            </w:pPr>
            <w:r>
              <w:rPr>
                <w:sz w:val="20"/>
              </w:rPr>
              <w:t>Expecting &amp; Empowered</w:t>
            </w:r>
          </w:p>
        </w:tc>
        <w:tc>
          <w:tcPr>
            <w:tcW w:type="dxa" w:w="2592"/>
            <w:shd w:val="clear" w:color="auto" w:fill="EEF2F6"/>
          </w:tcPr>
          <w:p>
            <w:pPr>
              <w:spacing w:after="40" w:before="40"/>
            </w:pPr>
            <w:r>
              <w:rPr>
                <w:sz w:val="20"/>
              </w:rPr>
              <w:t>Pregnancy→postpartum workouts</w:t>
            </w:r>
          </w:p>
        </w:tc>
        <w:tc>
          <w:tcPr>
            <w:tcW w:type="dxa" w:w="2160"/>
            <w:shd w:val="clear" w:color="auto" w:fill="EEF2F6"/>
          </w:tcPr>
          <w:p>
            <w:pPr>
              <w:spacing w:after="40" w:before="40"/>
            </w:pPr>
            <w:r>
              <w:rPr>
                <w:sz w:val="20"/>
              </w:rPr>
              <w:t>Subscription app</w:t>
            </w:r>
          </w:p>
        </w:tc>
        <w:tc>
          <w:tcPr>
            <w:tcW w:type="dxa" w:w="2736"/>
            <w:shd w:val="clear" w:color="auto" w:fill="EEF2F6"/>
          </w:tcPr>
          <w:p>
            <w:pPr>
              <w:spacing w:after="40" w:before="40"/>
            </w:pPr>
            <w:r>
              <w:rPr>
                <w:sz w:val="20"/>
              </w:rPr>
              <w:t>PT-founded, strong Instagram following</w:t>
            </w:r>
          </w:p>
        </w:tc>
      </w:tr>
      <w:tr>
        <w:tc>
          <w:tcPr>
            <w:tcW w:type="dxa" w:w="1872"/>
          </w:tcPr>
          <w:p>
            <w:pPr>
              <w:spacing w:after="40" w:before="40"/>
            </w:pPr>
            <w:r>
              <w:rPr>
                <w:sz w:val="20"/>
              </w:rPr>
              <w:t>Every Mother</w:t>
            </w:r>
          </w:p>
        </w:tc>
        <w:tc>
          <w:tcPr>
            <w:tcW w:type="dxa" w:w="2592"/>
          </w:tcPr>
          <w:p>
            <w:pPr>
              <w:spacing w:after="40" w:before="40"/>
            </w:pPr>
            <w:r>
              <w:rPr>
                <w:sz w:val="20"/>
              </w:rPr>
              <w:t>Diastasis recti (EMbody)</w:t>
            </w:r>
          </w:p>
        </w:tc>
        <w:tc>
          <w:tcPr>
            <w:tcW w:type="dxa" w:w="2160"/>
          </w:tcPr>
          <w:p>
            <w:pPr>
              <w:spacing w:after="40" w:before="40"/>
            </w:pPr>
            <w:r>
              <w:rPr>
                <w:sz w:val="20"/>
              </w:rPr>
              <w:t>Quarterly/annual subs</w:t>
            </w:r>
          </w:p>
        </w:tc>
        <w:tc>
          <w:tcPr>
            <w:tcW w:type="dxa" w:w="2736"/>
          </w:tcPr>
          <w:p>
            <w:pPr>
              <w:spacing w:after="40" w:before="40"/>
            </w:pPr>
            <w:r>
              <w:rPr>
                <w:sz w:val="20"/>
              </w:rPr>
              <w:t>Evidence-based, MARS quality 4.91; still active</w:t>
            </w:r>
          </w:p>
        </w:tc>
      </w:tr>
      <w:tr>
        <w:tc>
          <w:tcPr>
            <w:tcW w:type="dxa" w:w="1872"/>
            <w:shd w:val="clear" w:color="auto" w:fill="EEF2F6"/>
          </w:tcPr>
          <w:p>
            <w:pPr>
              <w:spacing w:after="40" w:before="40"/>
            </w:pPr>
            <w:r>
              <w:rPr>
                <w:sz w:val="20"/>
              </w:rPr>
              <w:t>Juna</w:t>
            </w:r>
          </w:p>
        </w:tc>
        <w:tc>
          <w:tcPr>
            <w:tcW w:type="dxa" w:w="2592"/>
            <w:shd w:val="clear" w:color="auto" w:fill="EEF2F6"/>
          </w:tcPr>
          <w:p>
            <w:pPr>
              <w:spacing w:after="40" w:before="40"/>
            </w:pPr>
            <w:r>
              <w:rPr>
                <w:sz w:val="20"/>
              </w:rPr>
              <w:t>Pregnancy &amp; postpartum workouts + some nutrition</w:t>
            </w:r>
          </w:p>
        </w:tc>
        <w:tc>
          <w:tcPr>
            <w:tcW w:type="dxa" w:w="2160"/>
            <w:shd w:val="clear" w:color="auto" w:fill="EEF2F6"/>
          </w:tcPr>
          <w:p>
            <w:pPr>
              <w:spacing w:after="40" w:before="40"/>
            </w:pPr>
            <w:r>
              <w:rPr>
                <w:sz w:val="20"/>
              </w:rPr>
              <w:t>Freemium subscription</w:t>
            </w:r>
          </w:p>
        </w:tc>
        <w:tc>
          <w:tcPr>
            <w:tcW w:type="dxa" w:w="2736"/>
            <w:shd w:val="clear" w:color="auto" w:fill="EEF2F6"/>
          </w:tcPr>
          <w:p>
            <w:pPr>
              <w:spacing w:after="40" w:before="40"/>
            </w:pPr>
            <w:r>
              <w:rPr>
                <w:sz w:val="20"/>
              </w:rPr>
              <w:t>MARS 4.86; polished but weaker credentialing</w:t>
            </w:r>
          </w:p>
        </w:tc>
      </w:tr>
      <w:tr>
        <w:tc>
          <w:tcPr>
            <w:tcW w:type="dxa" w:w="1872"/>
          </w:tcPr>
          <w:p>
            <w:pPr>
              <w:spacing w:after="40" w:before="40"/>
            </w:pPr>
            <w:r>
              <w:rPr>
                <w:sz w:val="20"/>
              </w:rPr>
              <w:t>Sweat (Post-Pregnancy)</w:t>
            </w:r>
          </w:p>
        </w:tc>
        <w:tc>
          <w:tcPr>
            <w:tcW w:type="dxa" w:w="2592"/>
          </w:tcPr>
          <w:p>
            <w:pPr>
              <w:spacing w:after="40" w:before="40"/>
            </w:pPr>
            <w:r>
              <w:rPr>
                <w:sz w:val="20"/>
              </w:rPr>
              <w:t>One program in a general fitness app</w:t>
            </w:r>
          </w:p>
        </w:tc>
        <w:tc>
          <w:tcPr>
            <w:tcW w:type="dxa" w:w="2160"/>
          </w:tcPr>
          <w:p>
            <w:pPr>
              <w:spacing w:after="40" w:before="40"/>
            </w:pPr>
            <w:r>
              <w:rPr>
                <w:sz w:val="20"/>
              </w:rPr>
              <w:t>$19.99/mo or $119/yr</w:t>
            </w:r>
          </w:p>
        </w:tc>
        <w:tc>
          <w:tcPr>
            <w:tcW w:type="dxa" w:w="2736"/>
          </w:tcPr>
          <w:p>
            <w:pPr>
              <w:spacing w:after="40" w:before="40"/>
            </w:pPr>
            <w:r>
              <w:rPr>
                <w:sz w:val="20"/>
              </w:rPr>
              <w:t>Huge distribution; postpartum is a feature, not a focus</w:t>
            </w:r>
          </w:p>
        </w:tc>
      </w:tr>
      <w:tr>
        <w:tc>
          <w:tcPr>
            <w:tcW w:type="dxa" w:w="1872"/>
            <w:shd w:val="clear" w:color="auto" w:fill="EEF2F6"/>
          </w:tcPr>
          <w:p>
            <w:pPr>
              <w:spacing w:after="40" w:before="40"/>
            </w:pPr>
            <w:r>
              <w:rPr>
                <w:sz w:val="20"/>
              </w:rPr>
              <w:t>The Sculpt Society</w:t>
            </w:r>
          </w:p>
        </w:tc>
        <w:tc>
          <w:tcPr>
            <w:tcW w:type="dxa" w:w="2592"/>
            <w:shd w:val="clear" w:color="auto" w:fill="EEF2F6"/>
          </w:tcPr>
          <w:p>
            <w:pPr>
              <w:spacing w:after="40" w:before="40"/>
            </w:pPr>
            <w:r>
              <w:rPr>
                <w:sz w:val="20"/>
              </w:rPr>
              <w:t>Postpartum program in boutique app</w:t>
            </w:r>
          </w:p>
        </w:tc>
        <w:tc>
          <w:tcPr>
            <w:tcW w:type="dxa" w:w="2160"/>
            <w:shd w:val="clear" w:color="auto" w:fill="EEF2F6"/>
          </w:tcPr>
          <w:p>
            <w:pPr>
              <w:spacing w:after="40" w:before="40"/>
            </w:pPr>
            <w:r>
              <w:rPr>
                <w:sz w:val="20"/>
              </w:rPr>
              <w:t>$24.99/mo or $179.99/yr</w:t>
            </w:r>
          </w:p>
        </w:tc>
        <w:tc>
          <w:tcPr>
            <w:tcW w:type="dxa" w:w="2736"/>
            <w:shd w:val="clear" w:color="auto" w:fill="EEF2F6"/>
          </w:tcPr>
          <w:p>
            <w:pPr>
              <w:spacing w:after="40" w:before="40"/>
            </w:pPr>
            <w:r>
              <w:rPr>
                <w:sz w:val="20"/>
              </w:rPr>
              <w:t>Influencer-led (Megan Roup)</w:t>
            </w:r>
          </w:p>
        </w:tc>
      </w:tr>
      <w:tr>
        <w:tc>
          <w:tcPr>
            <w:tcW w:type="dxa" w:w="1872"/>
          </w:tcPr>
          <w:p>
            <w:pPr>
              <w:spacing w:after="40" w:before="40"/>
            </w:pPr>
            <w:r>
              <w:rPr>
                <w:sz w:val="20"/>
              </w:rPr>
              <w:t>Baby2Body</w:t>
            </w:r>
          </w:p>
        </w:tc>
        <w:tc>
          <w:tcPr>
            <w:tcW w:type="dxa" w:w="2592"/>
          </w:tcPr>
          <w:p>
            <w:pPr>
              <w:spacing w:after="40" w:before="40"/>
            </w:pPr>
            <w:r>
              <w:rPr>
                <w:sz w:val="20"/>
              </w:rPr>
              <w:t>Holistic pregnancy→motherhood wellness</w:t>
            </w:r>
          </w:p>
        </w:tc>
        <w:tc>
          <w:tcPr>
            <w:tcW w:type="dxa" w:w="2160"/>
          </w:tcPr>
          <w:p>
            <w:pPr>
              <w:spacing w:after="40" w:before="40"/>
            </w:pPr>
            <w:r>
              <w:rPr>
                <w:sz w:val="20"/>
              </w:rPr>
              <w:t>Freemium</w:t>
            </w:r>
          </w:p>
        </w:tc>
        <w:tc>
          <w:tcPr>
            <w:tcW w:type="dxa" w:w="2736"/>
          </w:tcPr>
          <w:p>
            <w:pPr>
              <w:spacing w:after="40" w:before="40"/>
            </w:pPr>
            <w:r>
              <w:rPr>
                <w:sz w:val="20"/>
              </w:rPr>
              <w:t>~3M lifetime users; broad, shallow on weight loss</w:t>
            </w:r>
          </w:p>
        </w:tc>
      </w:tr>
      <w:tr>
        <w:tc>
          <w:tcPr>
            <w:tcW w:type="dxa" w:w="1872"/>
            <w:shd w:val="clear" w:color="auto" w:fill="EEF2F6"/>
          </w:tcPr>
          <w:p>
            <w:pPr>
              <w:spacing w:after="40" w:before="40"/>
            </w:pPr>
            <w:r>
              <w:rPr>
                <w:sz w:val="20"/>
              </w:rPr>
              <w:t>The KT Method</w:t>
            </w:r>
          </w:p>
        </w:tc>
        <w:tc>
          <w:tcPr>
            <w:tcW w:type="dxa" w:w="2592"/>
            <w:shd w:val="clear" w:color="auto" w:fill="EEF2F6"/>
          </w:tcPr>
          <w:p>
            <w:pPr>
              <w:spacing w:after="40" w:before="40"/>
            </w:pPr>
            <w:r>
              <w:rPr>
                <w:sz w:val="20"/>
              </w:rPr>
              <w:t>Early recovery videos</w:t>
            </w:r>
          </w:p>
        </w:tc>
        <w:tc>
          <w:tcPr>
            <w:tcW w:type="dxa" w:w="2160"/>
            <w:shd w:val="clear" w:color="auto" w:fill="EEF2F6"/>
          </w:tcPr>
          <w:p>
            <w:pPr>
              <w:spacing w:after="40" w:before="40"/>
            </w:pPr>
            <w:r>
              <w:rPr>
                <w:sz w:val="20"/>
              </w:rPr>
              <w:t>$49.99 one-time</w:t>
            </w:r>
          </w:p>
        </w:tc>
        <w:tc>
          <w:tcPr>
            <w:tcW w:type="dxa" w:w="2736"/>
            <w:shd w:val="clear" w:color="auto" w:fill="EEF2F6"/>
          </w:tcPr>
          <w:p>
            <w:pPr>
              <w:spacing w:after="40" w:before="40"/>
            </w:pPr>
            <w:r>
              <w:rPr>
                <w:sz w:val="20"/>
              </w:rPr>
              <w:t>Low-cost point solution</w:t>
            </w:r>
          </w:p>
        </w:tc>
      </w:tr>
    </w:tbl>
    <w:p>
      <w:pPr>
        <w:spacing w:after="120" w:before="0"/>
      </w:pPr>
    </w:p>
    <w:p>
      <w:pPr>
        <w:spacing w:after="160" w:before="0"/>
      </w:pPr>
      <w:r>
        <w:rPr>
          <w:b w:val="0"/>
          <w:i w:val="0"/>
          <w:sz w:val="22"/>
        </w:rPr>
        <w:t>Pattern: this side of the market competes on workout content and founder brand. None owns nutrition, none is breastfeeding-calorie-aware, and none has consolidated the category. Prices cluster at $13–30/month — healthy willingness to pay.</w:t>
      </w:r>
    </w:p>
    <w:p>
      <w:pPr>
        <w:pStyle w:val="Heading2"/>
      </w:pPr>
      <w:r>
        <w:t>5.2 Nutrition / weight-loss side (the actual gap)</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448"/>
            <w:shd w:val="clear" w:color="auto" w:fill="1F3A5F"/>
          </w:tcPr>
          <w:p>
            <w:pPr>
              <w:spacing w:after="40" w:before="40"/>
            </w:pPr>
            <w:r>
              <w:rPr>
                <w:b/>
                <w:color w:val="FFFFFF"/>
                <w:sz w:val="20"/>
              </w:rPr>
              <w:t>Player</w:t>
            </w:r>
          </w:p>
        </w:tc>
        <w:tc>
          <w:tcPr>
            <w:tcW w:type="dxa" w:w="3024"/>
            <w:shd w:val="clear" w:color="auto" w:fill="1F3A5F"/>
          </w:tcPr>
          <w:p>
            <w:pPr>
              <w:spacing w:after="40" w:before="40"/>
            </w:pPr>
            <w:r>
              <w:rPr>
                <w:b/>
                <w:color w:val="FFFFFF"/>
                <w:sz w:val="20"/>
              </w:rPr>
              <w:t>Status</w:t>
            </w:r>
          </w:p>
        </w:tc>
        <w:tc>
          <w:tcPr>
            <w:tcW w:type="dxa" w:w="3888"/>
            <w:shd w:val="clear" w:color="auto" w:fill="1F3A5F"/>
          </w:tcPr>
          <w:p>
            <w:pPr>
              <w:spacing w:after="40" w:before="40"/>
            </w:pPr>
            <w:r>
              <w:rPr>
                <w:b/>
                <w:color w:val="FFFFFF"/>
                <w:sz w:val="20"/>
              </w:rPr>
              <w:t>Weakness</w:t>
            </w:r>
          </w:p>
        </w:tc>
      </w:tr>
      <w:tr>
        <w:tc>
          <w:tcPr>
            <w:tcW w:type="dxa" w:w="2448"/>
          </w:tcPr>
          <w:p>
            <w:pPr>
              <w:spacing w:after="40" w:before="40"/>
            </w:pPr>
            <w:r>
              <w:rPr>
                <w:sz w:val="20"/>
              </w:rPr>
              <w:t>MyFitnessPal</w:t>
            </w:r>
          </w:p>
        </w:tc>
        <w:tc>
          <w:tcPr>
            <w:tcW w:type="dxa" w:w="3024"/>
          </w:tcPr>
          <w:p>
            <w:pPr>
              <w:spacing w:after="40" w:before="40"/>
            </w:pPr>
            <w:r>
              <w:rPr>
                <w:sz w:val="20"/>
              </w:rPr>
              <w:t>No nursing mode at all</w:t>
            </w:r>
          </w:p>
        </w:tc>
        <w:tc>
          <w:tcPr>
            <w:tcW w:type="dxa" w:w="3888"/>
          </w:tcPr>
          <w:p>
            <w:pPr>
              <w:spacing w:after="40" w:before="40"/>
            </w:pPr>
            <w:r>
              <w:rPr>
                <w:sz w:val="20"/>
              </w:rPr>
              <w:t>Users hack it with −500 kcal “breastfeeding” food entries; under-feeds nursing mothers by default</w:t>
            </w:r>
          </w:p>
        </w:tc>
      </w:tr>
      <w:tr>
        <w:tc>
          <w:tcPr>
            <w:tcW w:type="dxa" w:w="2448"/>
            <w:shd w:val="clear" w:color="auto" w:fill="EEF2F6"/>
          </w:tcPr>
          <w:p>
            <w:pPr>
              <w:spacing w:after="40" w:before="40"/>
            </w:pPr>
            <w:r>
              <w:rPr>
                <w:sz w:val="20"/>
              </w:rPr>
              <w:t>Noom / WW</w:t>
            </w:r>
          </w:p>
        </w:tc>
        <w:tc>
          <w:tcPr>
            <w:tcW w:type="dxa" w:w="3024"/>
            <w:shd w:val="clear" w:color="auto" w:fill="EEF2F6"/>
          </w:tcPr>
          <w:p>
            <w:pPr>
              <w:spacing w:after="40" w:before="40"/>
            </w:pPr>
            <w:r>
              <w:rPr>
                <w:sz w:val="20"/>
              </w:rPr>
              <w:t>No dedicated postpartum program</w:t>
            </w:r>
          </w:p>
        </w:tc>
        <w:tc>
          <w:tcPr>
            <w:tcW w:type="dxa" w:w="3888"/>
            <w:shd w:val="clear" w:color="auto" w:fill="EEF2F6"/>
          </w:tcPr>
          <w:p>
            <w:pPr>
              <w:spacing w:after="40" w:before="40"/>
            </w:pPr>
            <w:r>
              <w:rPr>
                <w:sz w:val="20"/>
              </w:rPr>
              <w:t>Both pivoting to GLP-1 prescribing — which excludes nursing mothers</w:t>
            </w:r>
          </w:p>
        </w:tc>
      </w:tr>
      <w:tr>
        <w:tc>
          <w:tcPr>
            <w:tcW w:type="dxa" w:w="2448"/>
          </w:tcPr>
          <w:p>
            <w:pPr>
              <w:spacing w:after="40" w:before="40"/>
            </w:pPr>
            <w:r>
              <w:rPr>
                <w:sz w:val="20"/>
              </w:rPr>
              <w:t>LatchFit</w:t>
            </w:r>
          </w:p>
        </w:tc>
        <w:tc>
          <w:tcPr>
            <w:tcW w:type="dxa" w:w="3024"/>
          </w:tcPr>
          <w:p>
            <w:pPr>
              <w:spacing w:after="40" w:before="40"/>
            </w:pPr>
            <w:r>
              <w:rPr>
                <w:sz w:val="20"/>
              </w:rPr>
              <w:t>Only true direct competitor (see 5.3)</w:t>
            </w:r>
          </w:p>
        </w:tc>
        <w:tc>
          <w:tcPr>
            <w:tcW w:type="dxa" w:w="3888"/>
          </w:tcPr>
          <w:p>
            <w:pPr>
              <w:spacing w:after="40" w:before="40"/>
            </w:pPr>
            <w:r>
              <w:rPr>
                <w:sz w:val="20"/>
              </w:rPr>
              <w:t>Executionally weak solo project</w:t>
            </w:r>
          </w:p>
        </w:tc>
      </w:tr>
      <w:tr>
        <w:tc>
          <w:tcPr>
            <w:tcW w:type="dxa" w:w="2448"/>
            <w:shd w:val="clear" w:color="auto" w:fill="EEF2F6"/>
          </w:tcPr>
          <w:p>
            <w:pPr>
              <w:spacing w:after="40" w:before="40"/>
            </w:pPr>
            <w:r>
              <w:rPr>
                <w:sz w:val="20"/>
              </w:rPr>
              <w:t>Nutrola, Breastfeeding Calorie Count, NourishWise, Mommie</w:t>
            </w:r>
          </w:p>
        </w:tc>
        <w:tc>
          <w:tcPr>
            <w:tcW w:type="dxa" w:w="3024"/>
            <w:shd w:val="clear" w:color="auto" w:fill="EEF2F6"/>
          </w:tcPr>
          <w:p>
            <w:pPr>
              <w:spacing w:after="40" w:before="40"/>
            </w:pPr>
            <w:r>
              <w:rPr>
                <w:sz w:val="20"/>
              </w:rPr>
              <w:t>Micro-apps / calculators</w:t>
            </w:r>
          </w:p>
        </w:tc>
        <w:tc>
          <w:tcPr>
            <w:tcW w:type="dxa" w:w="3888"/>
            <w:shd w:val="clear" w:color="auto" w:fill="EEF2F6"/>
          </w:tcPr>
          <w:p>
            <w:pPr>
              <w:spacing w:after="40" w:before="40"/>
            </w:pPr>
            <w:r>
              <w:rPr>
                <w:sz w:val="20"/>
              </w:rPr>
              <w:t>Thin features, no brand, no clinical backing, no community</w:t>
            </w:r>
          </w:p>
        </w:tc>
      </w:tr>
    </w:tbl>
    <w:p>
      <w:pPr>
        <w:spacing w:after="120" w:before="0"/>
      </w:pPr>
    </w:p>
    <w:p>
      <w:pPr>
        <w:pStyle w:val="Heading2"/>
      </w:pPr>
      <w:r>
        <w:t>5.3 LatchFit teardown (direct competitor)</w:t>
      </w:r>
    </w:p>
    <w:p>
      <w:pPr>
        <w:spacing w:after="160" w:before="0"/>
      </w:pPr>
      <w:r>
        <w:rPr>
          <w:b w:val="0"/>
          <w:i w:val="0"/>
          <w:sz w:val="22"/>
        </w:rPr>
        <w:t>LatchFit (“Macro Tracker for Mom”) launched October 3, 2025 and is proof that the wedge concept has demand — and that the bar is low:</w:t>
      </w:r>
    </w:p>
    <w:p>
      <w:pPr>
        <w:pStyle w:val="ListBullet"/>
        <w:spacing w:after="100"/>
      </w:pPr>
      <w:r>
        <w:rPr>
          <w:b w:val="0"/>
          <w:i w:val="0"/>
          <w:sz w:val="22"/>
        </w:rPr>
        <w:t>Solo developer (Zachary Brown), whose other published apps are classroom noise meters and an idle-tapper game. No clinical team, no company, no funding trail.</w:t>
      </w:r>
    </w:p>
    <w:p>
      <w:pPr>
        <w:pStyle w:val="ListBullet"/>
        <w:spacing w:after="100"/>
      </w:pPr>
      <w:r>
        <w:rPr>
          <w:b w:val="0"/>
          <w:i w:val="0"/>
          <w:sz w:val="22"/>
        </w:rPr>
        <w:t>7 App Store ratings, 3.6 average, as of August 2026 — ten months post-launch. No meaningful distribution.</w:t>
      </w:r>
    </w:p>
    <w:p>
      <w:pPr>
        <w:pStyle w:val="ListBullet"/>
        <w:spacing w:after="100"/>
      </w:pPr>
      <w:r>
        <w:rPr>
          <w:b w:val="0"/>
          <w:i w:val="0"/>
          <w:sz w:val="22"/>
        </w:rPr>
        <w:t>iOS-only (requires iOS 18.4+), 14MB, ad-supported, with a $2.99 “LatchFit Plus” in-app purchase — monetization that cannot fund development.</w:t>
      </w:r>
    </w:p>
    <w:p>
      <w:pPr>
        <w:pStyle w:val="ListBullet"/>
        <w:spacing w:after="100"/>
      </w:pPr>
      <w:r>
        <w:rPr>
          <w:b w:val="0"/>
          <w:i w:val="0"/>
          <w:sz w:val="22"/>
        </w:rPr>
        <w:t>Version history is a catalog of white-screen freezes, data-loss bugs, food logs saving to the wrong day, and cross-profile data leaks — credibility poison in a category where users are tracking milk supply.</w:t>
      </w:r>
    </w:p>
    <w:p>
      <w:pPr>
        <w:pStyle w:val="ListBullet"/>
        <w:spacing w:after="100"/>
      </w:pPr>
      <w:r>
        <w:rPr>
          <w:b w:val="0"/>
          <w:i w:val="0"/>
          <w:sz w:val="22"/>
        </w:rPr>
        <w:t>Feature reviews confirm unmet needs even among its tiny user base: no activity logging despite prompts to “log activity,” hard caps that break for oversupply/exclusive pumpers.</w:t>
      </w:r>
    </w:p>
    <w:p>
      <w:pPr>
        <w:pStyle w:val="ListBullet"/>
        <w:spacing w:after="100"/>
      </w:pPr>
      <w:r>
        <w:rPr>
          <w:b w:val="0"/>
          <w:i w:val="0"/>
          <w:sz w:val="22"/>
        </w:rPr>
        <w:t>What it gets right (and we should too): Mifflin-St Jeor BMR with breastfeeding adjustments, calorie-floor protections, USDA food database, nursing/pumping timers, hydration floors tuned for lactation.</w:t>
      </w:r>
    </w:p>
    <w:tbl>
      <w:tblPr>
        <w:tblW w:type="auto" w:w="0"/>
        <w:tblLayout w:type="fixed"/>
        <w:tblLook w:firstColumn="1" w:firstRow="1" w:lastColumn="0" w:lastRow="0" w:noHBand="0" w:noVBand="1" w:val="04A0"/>
        <w:tblBorders>
          <w:top w:val="single" w:sz="4" w:space="0" w:color="2E7D6E"/>
          <w:left w:val="single" w:sz="4" w:space="0" w:color="2E7D6E"/>
          <w:bottom w:val="single" w:sz="4" w:space="0" w:color="2E7D6E"/>
          <w:right w:val="single" w:sz="4" w:space="0" w:color="2E7D6E"/>
          <w:insideH w:val="single" w:sz="4" w:space="0" w:color="2E7D6E"/>
          <w:insideV w:val="single" w:sz="4" w:space="0" w:color="2E7D6E"/>
        </w:tblBorders>
      </w:tblPr>
      <w:tblGrid>
        <w:gridCol w:w="9360"/>
      </w:tblGrid>
      <w:tr>
        <w:tc>
          <w:tcPr>
            <w:tcW w:type="dxa" w:w="9360"/>
            <w:shd w:val="clear" w:color="auto" w:fill="F0F7F5"/>
          </w:tcPr>
          <w:p>
            <w:pPr>
              <w:spacing w:after="80" w:before="40"/>
            </w:pPr>
            <w:r>
              <w:rPr>
                <w:b/>
                <w:color w:val="2E7D6E"/>
                <w:sz w:val="22"/>
              </w:rPr>
              <w:t>Competitive verdict</w:t>
            </w:r>
          </w:p>
          <w:p>
            <w:pPr>
              <w:spacing w:after="40"/>
            </w:pPr>
            <w:r>
              <w:rPr>
                <w:sz w:val="22"/>
              </w:rPr>
              <w:t>The correct product thesis already exists in the wild with essentially zero execution quality, zero distribution, and zero clinical brand. First-mover advantage is still available to whoever ships a professional version. Speed matters more than novelty.</w:t>
            </w:r>
          </w:p>
        </w:tc>
      </w:tr>
    </w:tbl>
    <w:p>
      <w:pPr>
        <w:spacing w:after="120" w:before="0"/>
      </w:pPr>
    </w:p>
    <w:p>
      <w:r>
        <w:br w:type="page"/>
      </w:r>
    </w:p>
    <w:p>
      <w:pPr>
        <w:pStyle w:val="Heading1"/>
      </w:pPr>
      <w:r>
        <w:t>6. Why the Space Is Empty: Barriers to Entry</w:t>
      </w:r>
    </w:p>
    <w:p>
      <w:pPr>
        <w:spacing w:after="160" w:before="0"/>
      </w:pPr>
      <w:r>
        <w:rPr>
          <w:b w:val="0"/>
          <w:i w:val="0"/>
          <w:sz w:val="22"/>
        </w:rPr>
        <w:t>An empty market is either an opportunity or a warning, and it is usually both. The obvious question any investor — or skeptical co-founder — will ask is: if 3.1 million women a year need this and MyFitnessPal has known for a decade, why does the category's best product have seven ratings? The answer is seven distinct barriers. Each one deterred a different class of would-be entrant, and each one, once crossed, converts into protection for whoever crossed it. Understanding them is the difference between walking into a gap and walking into a trap.</w:t>
      </w:r>
    </w:p>
    <w:p>
      <w:pPr>
        <w:pStyle w:val="Heading2"/>
      </w:pPr>
      <w:r>
        <w:t>6.1 The liability veto — why incumbents won't touch it</w:t>
      </w:r>
    </w:p>
    <w:p>
      <w:pPr>
        <w:spacing w:after="160" w:before="0"/>
      </w:pPr>
      <w:r>
        <w:rPr>
          <w:b w:val="0"/>
          <w:i w:val="0"/>
          <w:sz w:val="22"/>
        </w:rPr>
        <w:t>For MyFitnessPal or Noom, a “nursing mode” is not a settings toggle; it is an implicit promise about infant nutrition. A generic calorie target that is too low harms no one identifiable. A lactation-specific target that precedes a mother's supply crash — whatever actually caused it — owns the outcome, the one-star reviews, and potentially the lawsuit. Corporate counsel at any public or PE-owned company will veto that exposure for a feature serving a low-single-digit percentage of users. A decade of unanswered forum requests is not neglect; it is policy. Crossing this barrier requires what a feature team cannot ship: named clinical reviewers, conservative hard-coded floors, red-flag interrupts, and insurance — a whole-company posture, not a toggle.</w:t>
      </w:r>
    </w:p>
    <w:p>
      <w:pPr>
        <w:pStyle w:val="Heading2"/>
      </w:pPr>
      <w:r>
        <w:t>6.2 The corporate math problem — too small for giants, too hard for hobbyists</w:t>
      </w:r>
    </w:p>
    <w:p>
      <w:pPr>
        <w:spacing w:after="160" w:before="0"/>
      </w:pPr>
      <w:r>
        <w:rPr>
          <w:b w:val="0"/>
          <w:i w:val="0"/>
          <w:sz w:val="22"/>
        </w:rPr>
        <w:t>The niche fails big-company arithmetic. A ~3.1M annual US cohort with a 12–18-month usable lifetime is a rounding error against MyFitnessPal's 200M+ registered users; even total category victory would not move their revenue line, so it never makes a roadmap. Mid-sized fitness brands (Sweat, The Sculpt Society) bolt on one postpartum workout program because video content fits their production model — but a lactation-aware nutrition engine does not. Meanwhile, doing it properly (food database licensing, clinical review, supply-tracking loops) exceeds what a solo developer sustains, as LatchFit's version history demonstrates. The niche sits in a classic dead zone: beneath corporate materiality, beyond indie capability.</w:t>
      </w:r>
    </w:p>
    <w:p>
      <w:pPr>
        <w:pStyle w:val="Heading2"/>
      </w:pPr>
      <w:r>
        <w:t>6.3 The VC churn allergy — why no funded competitor exists</w:t>
      </w:r>
    </w:p>
    <w:p>
      <w:pPr>
        <w:spacing w:after="160" w:before="0"/>
      </w:pPr>
      <w:r>
        <w:rPr>
          <w:b w:val="0"/>
          <w:i w:val="0"/>
          <w:sz w:val="22"/>
        </w:rPr>
        <w:t>Generalist venture investors pattern-match a 12–18-month user lifetime to “leaky bucket” and pass, which is precisely why the space was left to unfunded hobbyists. What the pattern-match misses: the cohort self-renews (~3.1M new entrants annually, forever), acquisition runs through durable trust channels rather than paid ads, and adjacent parenting verticals (baby trackers, pregnancy apps) already proved that finite-lifetime subscriptions reach eight-figure revenue. Femtech-specialist funds understand this; the generalists who don't have kept the field clear. Their allergy is our absence of competition.</w:t>
      </w:r>
    </w:p>
    <w:p>
      <w:pPr>
        <w:pStyle w:val="Heading2"/>
      </w:pPr>
      <w:r>
        <w:t>6.4 The two-expertise problem — the founder intersection is rare</w:t>
      </w:r>
    </w:p>
    <w:p>
      <w:pPr>
        <w:spacing w:after="160" w:before="0"/>
      </w:pPr>
      <w:r>
        <w:rPr>
          <w:b w:val="0"/>
          <w:i w:val="0"/>
          <w:sz w:val="22"/>
        </w:rPr>
        <w:t>A credible product needs three things that rarely co-occur: consumer-app engineering, lactation/nutrition science, and distribution into a skeptical audience. Developers lack the clinical side (LatchFit). Clinicians — IBCLCs, RDs, pelvic PTs — lack capital and software capability (MUTU is the rare exception, and it took NHS endorsement and a decade). Creators own the audience but neither builds nor credentials. The barrier is team assembly, not technology — which is exactly why a founder pairing engineering resources with a clinician-adjacent founding creator and hired advisors can cross it quickly while others cannot.</w:t>
      </w:r>
    </w:p>
    <w:p>
      <w:pPr>
        <w:pStyle w:val="Heading2"/>
      </w:pPr>
      <w:r>
        <w:t>6.5 The reputational tightrope — weight loss marketing to new mothers is radioactive</w:t>
      </w:r>
    </w:p>
    <w:p>
      <w:pPr>
        <w:spacing w:after="160" w:before="0"/>
      </w:pPr>
      <w:r>
        <w:rPr>
          <w:b w:val="0"/>
          <w:i w:val="0"/>
          <w:sz w:val="22"/>
        </w:rPr>
        <w:t>Post-“bounce back” backlash, no brand-safe corporation wants the headline “app tells exhausted new mothers to diet.” Peloton, Alo, and Sweat will sell postpartum strength all day; none will attach their brand to postpartum weight loss, and mainstream diet brands avoid maternity imagery entirely. This chills exactly the companies with resources to enter. Crossing it requires native fluency the audience can verify — function-and-safety framing, supply protection as the hero feature, no before/after ads — which is performable only by teams genuinely embedded in the audience. Corporations cannot fake it; a nursing-mother founding creator embodies it.</w:t>
      </w:r>
    </w:p>
    <w:p>
      <w:pPr>
        <w:pStyle w:val="Heading2"/>
      </w:pPr>
      <w:r>
        <w:t>6.6 The thin evidence base — the science is harder than generic TDEE</w:t>
      </w:r>
    </w:p>
    <w:p>
      <w:pPr>
        <w:spacing w:after="160" w:before="0"/>
      </w:pPr>
      <w:r>
        <w:rPr>
          <w:b w:val="0"/>
          <w:i w:val="0"/>
          <w:sz w:val="22"/>
        </w:rPr>
        <w:t>Clinical trials systematically exclude lactating women (the GLP-1 data gap is one instance), and true energy needs vary widely with supply volume, feeding mix, and stage. There is no textbook formula to license. Serious health companies see an underdeveloped evidence base and steer clear of the substantiation risk; indie apps ignore the problem and publish naive numbers. The navigable middle — conservative expert-reviewed guardrails now, plus systematic collection of supply-vs-intake outcomes that improves them — is precisely the dataset opportunity in Section 8.4, and it is only available to whoever enters while the literature is still thin.</w:t>
      </w:r>
    </w:p>
    <w:p>
      <w:pPr>
        <w:pStyle w:val="Heading2"/>
      </w:pPr>
      <w:r>
        <w:t>6.7 The GLP-1 distraction — the industry is looking elsewhere</w:t>
      </w:r>
    </w:p>
    <w:p>
      <w:pPr>
        <w:spacing w:after="160" w:before="0"/>
      </w:pPr>
      <w:r>
        <w:rPr>
          <w:b w:val="0"/>
          <w:i w:val="0"/>
          <w:sz w:val="22"/>
        </w:rPr>
        <w:t>Since 2023, product and capital attention across the entire weight-management industry has stampeded toward prescription telehealth. Building a behavioral nutrition app in 2026 reads as contrarian, so nobody with resources is scanning for the niches drugs cannot serve. Windows like this exist while the gold rush is still absorbing everyone's attention; they close when it saturates and operators start hunting for the populations left behind.</w:t>
      </w:r>
    </w:p>
    <w:p>
      <w:pPr>
        <w:pStyle w:val="Heading2"/>
      </w:pPr>
      <w:r>
        <w:t>6.8 Barriers become moats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728"/>
            <w:shd w:val="clear" w:color="auto" w:fill="1F3A5F"/>
          </w:tcPr>
          <w:p>
            <w:pPr>
              <w:spacing w:after="40" w:before="40"/>
            </w:pPr>
            <w:r>
              <w:rPr>
                <w:b/>
                <w:color w:val="FFFFFF"/>
                <w:sz w:val="20"/>
              </w:rPr>
              <w:t>Barrier</w:t>
            </w:r>
          </w:p>
        </w:tc>
        <w:tc>
          <w:tcPr>
            <w:tcW w:type="dxa" w:w="2160"/>
            <w:shd w:val="clear" w:color="auto" w:fill="1F3A5F"/>
          </w:tcPr>
          <w:p>
            <w:pPr>
              <w:spacing w:after="40" w:before="40"/>
            </w:pPr>
            <w:r>
              <w:rPr>
                <w:b/>
                <w:color w:val="FFFFFF"/>
                <w:sz w:val="20"/>
              </w:rPr>
              <w:t>Who it stopped</w:t>
            </w:r>
          </w:p>
        </w:tc>
        <w:tc>
          <w:tcPr>
            <w:tcW w:type="dxa" w:w="2736"/>
            <w:shd w:val="clear" w:color="auto" w:fill="1F3A5F"/>
          </w:tcPr>
          <w:p>
            <w:pPr>
              <w:spacing w:after="40" w:before="40"/>
            </w:pPr>
            <w:r>
              <w:rPr>
                <w:b/>
                <w:color w:val="FFFFFF"/>
                <w:sz w:val="20"/>
              </w:rPr>
              <w:t>How we cross it</w:t>
            </w:r>
          </w:p>
        </w:tc>
        <w:tc>
          <w:tcPr>
            <w:tcW w:type="dxa" w:w="2736"/>
            <w:shd w:val="clear" w:color="auto" w:fill="1F3A5F"/>
          </w:tcPr>
          <w:p>
            <w:pPr>
              <w:spacing w:after="40" w:before="40"/>
            </w:pPr>
            <w:r>
              <w:rPr>
                <w:b/>
                <w:color w:val="FFFFFF"/>
                <w:sz w:val="20"/>
              </w:rPr>
              <w:t>Moat once crossed</w:t>
            </w:r>
          </w:p>
        </w:tc>
      </w:tr>
      <w:tr>
        <w:tc>
          <w:tcPr>
            <w:tcW w:type="dxa" w:w="1728"/>
          </w:tcPr>
          <w:p>
            <w:pPr>
              <w:spacing w:after="40" w:before="40"/>
            </w:pPr>
            <w:r>
              <w:rPr>
                <w:sz w:val="20"/>
              </w:rPr>
              <w:t>Liability exposure</w:t>
            </w:r>
          </w:p>
        </w:tc>
        <w:tc>
          <w:tcPr>
            <w:tcW w:type="dxa" w:w="2160"/>
          </w:tcPr>
          <w:p>
            <w:pPr>
              <w:spacing w:after="40" w:before="40"/>
            </w:pPr>
            <w:r>
              <w:rPr>
                <w:sz w:val="20"/>
              </w:rPr>
              <w:t>Incumbents (legal veto)</w:t>
            </w:r>
          </w:p>
        </w:tc>
        <w:tc>
          <w:tcPr>
            <w:tcW w:type="dxa" w:w="2736"/>
          </w:tcPr>
          <w:p>
            <w:pPr>
              <w:spacing w:after="40" w:before="40"/>
            </w:pPr>
            <w:r>
              <w:rPr>
                <w:sz w:val="20"/>
              </w:rPr>
              <w:t>Clinical advisory board, hard floors, red-flag interrupts, insurance</w:t>
            </w:r>
          </w:p>
        </w:tc>
        <w:tc>
          <w:tcPr>
            <w:tcW w:type="dxa" w:w="2736"/>
          </w:tcPr>
          <w:p>
            <w:pPr>
              <w:spacing w:after="40" w:before="40"/>
            </w:pPr>
            <w:r>
              <w:rPr>
                <w:sz w:val="20"/>
              </w:rPr>
              <w:t>“Clinically reviewed” brand a feature-team toggle can't match</w:t>
            </w:r>
          </w:p>
        </w:tc>
      </w:tr>
      <w:tr>
        <w:tc>
          <w:tcPr>
            <w:tcW w:type="dxa" w:w="1728"/>
            <w:shd w:val="clear" w:color="auto" w:fill="EEF2F6"/>
          </w:tcPr>
          <w:p>
            <w:pPr>
              <w:spacing w:after="40" w:before="40"/>
            </w:pPr>
            <w:r>
              <w:rPr>
                <w:sz w:val="20"/>
              </w:rPr>
              <w:t>Niche corporate math</w:t>
            </w:r>
          </w:p>
        </w:tc>
        <w:tc>
          <w:tcPr>
            <w:tcW w:type="dxa" w:w="2160"/>
            <w:shd w:val="clear" w:color="auto" w:fill="EEF2F6"/>
          </w:tcPr>
          <w:p>
            <w:pPr>
              <w:spacing w:after="40" w:before="40"/>
            </w:pPr>
            <w:r>
              <w:rPr>
                <w:sz w:val="20"/>
              </w:rPr>
              <w:t>MFP, Noom, big fitness</w:t>
            </w:r>
          </w:p>
        </w:tc>
        <w:tc>
          <w:tcPr>
            <w:tcW w:type="dxa" w:w="2736"/>
            <w:shd w:val="clear" w:color="auto" w:fill="EEF2F6"/>
          </w:tcPr>
          <w:p>
            <w:pPr>
              <w:spacing w:after="40" w:before="40"/>
            </w:pPr>
            <w:r>
              <w:rPr>
                <w:sz w:val="20"/>
              </w:rPr>
              <w:t>The niche is our whole company, not a feature</w:t>
            </w:r>
          </w:p>
        </w:tc>
        <w:tc>
          <w:tcPr>
            <w:tcW w:type="dxa" w:w="2736"/>
            <w:shd w:val="clear" w:color="auto" w:fill="EEF2F6"/>
          </w:tcPr>
          <w:p>
            <w:pPr>
              <w:spacing w:after="40" w:before="40"/>
            </w:pPr>
            <w:r>
              <w:rPr>
                <w:sz w:val="20"/>
              </w:rPr>
              <w:t>Category ownership; giants still won't follow</w:t>
            </w:r>
          </w:p>
        </w:tc>
      </w:tr>
      <w:tr>
        <w:tc>
          <w:tcPr>
            <w:tcW w:type="dxa" w:w="1728"/>
          </w:tcPr>
          <w:p>
            <w:pPr>
              <w:spacing w:after="40" w:before="40"/>
            </w:pPr>
            <w:r>
              <w:rPr>
                <w:sz w:val="20"/>
              </w:rPr>
              <w:t>Structural churn</w:t>
            </w:r>
          </w:p>
        </w:tc>
        <w:tc>
          <w:tcPr>
            <w:tcW w:type="dxa" w:w="2160"/>
          </w:tcPr>
          <w:p>
            <w:pPr>
              <w:spacing w:after="40" w:before="40"/>
            </w:pPr>
            <w:r>
              <w:rPr>
                <w:sz w:val="20"/>
              </w:rPr>
              <w:t>Generalist VCs (and thus funded startups)</w:t>
            </w:r>
          </w:p>
        </w:tc>
        <w:tc>
          <w:tcPr>
            <w:tcW w:type="dxa" w:w="2736"/>
          </w:tcPr>
          <w:p>
            <w:pPr>
              <w:spacing w:after="40" w:before="40"/>
            </w:pPr>
            <w:r>
              <w:rPr>
                <w:sz w:val="20"/>
              </w:rPr>
              <w:t>Annual pricing, lifecycle extension, acquisition-led model</w:t>
            </w:r>
          </w:p>
        </w:tc>
        <w:tc>
          <w:tcPr>
            <w:tcW w:type="dxa" w:w="2736"/>
          </w:tcPr>
          <w:p>
            <w:pPr>
              <w:spacing w:after="40" w:before="40"/>
            </w:pPr>
            <w:r>
              <w:rPr>
                <w:sz w:val="20"/>
              </w:rPr>
              <w:t>Proven niche economics competitors lack data to underwrite</w:t>
            </w:r>
          </w:p>
        </w:tc>
      </w:tr>
      <w:tr>
        <w:tc>
          <w:tcPr>
            <w:tcW w:type="dxa" w:w="1728"/>
            <w:shd w:val="clear" w:color="auto" w:fill="EEF2F6"/>
          </w:tcPr>
          <w:p>
            <w:pPr>
              <w:spacing w:after="40" w:before="40"/>
            </w:pPr>
            <w:r>
              <w:rPr>
                <w:sz w:val="20"/>
              </w:rPr>
              <w:t>Dual expertise</w:t>
            </w:r>
          </w:p>
        </w:tc>
        <w:tc>
          <w:tcPr>
            <w:tcW w:type="dxa" w:w="2160"/>
            <w:shd w:val="clear" w:color="auto" w:fill="EEF2F6"/>
          </w:tcPr>
          <w:p>
            <w:pPr>
              <w:spacing w:after="40" w:before="40"/>
            </w:pPr>
            <w:r>
              <w:rPr>
                <w:sz w:val="20"/>
              </w:rPr>
              <w:t>Solo devs, clinicians, creators alone</w:t>
            </w:r>
          </w:p>
        </w:tc>
        <w:tc>
          <w:tcPr>
            <w:tcW w:type="dxa" w:w="2736"/>
            <w:shd w:val="clear" w:color="auto" w:fill="EEF2F6"/>
          </w:tcPr>
          <w:p>
            <w:pPr>
              <w:spacing w:after="40" w:before="40"/>
            </w:pPr>
            <w:r>
              <w:rPr>
                <w:sz w:val="20"/>
              </w:rPr>
              <w:t>Engineering + RD/IBCLC advisors + founding creator</w:t>
            </w:r>
          </w:p>
        </w:tc>
        <w:tc>
          <w:tcPr>
            <w:tcW w:type="dxa" w:w="2736"/>
            <w:shd w:val="clear" w:color="auto" w:fill="EEF2F6"/>
          </w:tcPr>
          <w:p>
            <w:pPr>
              <w:spacing w:after="40" w:before="40"/>
            </w:pPr>
            <w:r>
              <w:rPr>
                <w:sz w:val="20"/>
              </w:rPr>
              <w:t>Credibility and distribution that compound together</w:t>
            </w:r>
          </w:p>
        </w:tc>
      </w:tr>
      <w:tr>
        <w:tc>
          <w:tcPr>
            <w:tcW w:type="dxa" w:w="1728"/>
          </w:tcPr>
          <w:p>
            <w:pPr>
              <w:spacing w:after="40" w:before="40"/>
            </w:pPr>
            <w:r>
              <w:rPr>
                <w:sz w:val="20"/>
              </w:rPr>
              <w:t>Reputational risk</w:t>
            </w:r>
          </w:p>
        </w:tc>
        <w:tc>
          <w:tcPr>
            <w:tcW w:type="dxa" w:w="2160"/>
          </w:tcPr>
          <w:p>
            <w:pPr>
              <w:spacing w:after="40" w:before="40"/>
            </w:pPr>
            <w:r>
              <w:rPr>
                <w:sz w:val="20"/>
              </w:rPr>
              <w:t>Brand-safe corporations</w:t>
            </w:r>
          </w:p>
        </w:tc>
        <w:tc>
          <w:tcPr>
            <w:tcW w:type="dxa" w:w="2736"/>
          </w:tcPr>
          <w:p>
            <w:pPr>
              <w:spacing w:after="40" w:before="40"/>
            </w:pPr>
            <w:r>
              <w:rPr>
                <w:sz w:val="20"/>
              </w:rPr>
              <w:t>Audience-native, function-first framing</w:t>
            </w:r>
          </w:p>
        </w:tc>
        <w:tc>
          <w:tcPr>
            <w:tcW w:type="dxa" w:w="2736"/>
          </w:tcPr>
          <w:p>
            <w:pPr>
              <w:spacing w:after="40" w:before="40"/>
            </w:pPr>
            <w:r>
              <w:rPr>
                <w:sz w:val="20"/>
              </w:rPr>
              <w:t>Community trust that cannot be bought or faked</w:t>
            </w:r>
          </w:p>
        </w:tc>
      </w:tr>
      <w:tr>
        <w:tc>
          <w:tcPr>
            <w:tcW w:type="dxa" w:w="1728"/>
            <w:shd w:val="clear" w:color="auto" w:fill="EEF2F6"/>
          </w:tcPr>
          <w:p>
            <w:pPr>
              <w:spacing w:after="40" w:before="40"/>
            </w:pPr>
            <w:r>
              <w:rPr>
                <w:sz w:val="20"/>
              </w:rPr>
              <w:t>Thin evidence base</w:t>
            </w:r>
          </w:p>
        </w:tc>
        <w:tc>
          <w:tcPr>
            <w:tcW w:type="dxa" w:w="2160"/>
            <w:shd w:val="clear" w:color="auto" w:fill="EEF2F6"/>
          </w:tcPr>
          <w:p>
            <w:pPr>
              <w:spacing w:after="40" w:before="40"/>
            </w:pPr>
            <w:r>
              <w:rPr>
                <w:sz w:val="20"/>
              </w:rPr>
              <w:t>Cautious health companies</w:t>
            </w:r>
          </w:p>
        </w:tc>
        <w:tc>
          <w:tcPr>
            <w:tcW w:type="dxa" w:w="2736"/>
            <w:shd w:val="clear" w:color="auto" w:fill="EEF2F6"/>
          </w:tcPr>
          <w:p>
            <w:pPr>
              <w:spacing w:after="40" w:before="40"/>
            </w:pPr>
            <w:r>
              <w:rPr>
                <w:sz w:val="20"/>
              </w:rPr>
              <w:t>Conservative guardrails now; outcomes data collection from day one</w:t>
            </w:r>
          </w:p>
        </w:tc>
        <w:tc>
          <w:tcPr>
            <w:tcW w:type="dxa" w:w="2736"/>
            <w:shd w:val="clear" w:color="auto" w:fill="EEF2F6"/>
          </w:tcPr>
          <w:p>
            <w:pPr>
              <w:spacing w:after="40" w:before="40"/>
            </w:pPr>
            <w:r>
              <w:rPr>
                <w:sz w:val="20"/>
              </w:rPr>
              <w:t>Proprietary supply-vs-intake dataset — the hardest asset to copy</w:t>
            </w:r>
          </w:p>
        </w:tc>
      </w:tr>
    </w:tbl>
    <w:p>
      <w:pPr>
        <w:spacing w:after="120" w:before="0"/>
      </w:pPr>
    </w:p>
    <w:p>
      <w:pPr>
        <w:pStyle w:val="Heading2"/>
      </w:pPr>
      <w:r>
        <w:t>6.9 The bear case, stated honestly</w:t>
      </w:r>
    </w:p>
    <w:p>
      <w:pPr>
        <w:spacing w:after="160" w:before="0"/>
      </w:pPr>
      <w:r>
        <w:rPr>
          <w:b w:val="0"/>
          <w:i w:val="0"/>
          <w:sz w:val="22"/>
        </w:rPr>
        <w:t>Intellectual honesty requires the inverse read: some of this emptiness may be efficient-market signal, not oversight. The bear case: (a) the niche tops out as a $5–15M ARR business, not venture scale — mothers churn out faster than any lifecycle extension can offset; (b) willingness to pay collapses against free workarounds (the −500 kcal hack costs nothing); (c) the audience's diet-culture aversion suppresses conversion no matter how careful the framing. These are real possibilities — they are why Section 14 front-loads a willingness-to-pay kill criterion before any build spend, and why the capital plan keeps a bootstrap path open. The asymmetry that justifies proceeding: if the bear case is right, the downside is a modest, profitable niche business; if it is wrong, the prize is uncontested category ownership of a self-renewing market. Few opportunities fail that gracefully.</w:t>
      </w:r>
    </w:p>
    <w:p>
      <w:r>
        <w:br w:type="page"/>
      </w:r>
    </w:p>
    <w:p>
      <w:pPr>
        <w:pStyle w:val="Heading1"/>
      </w:pPr>
      <w:r>
        <w:t>7. Gap Analysis &amp; Positioning</w:t>
      </w:r>
    </w:p>
    <w:p>
      <w:pPr>
        <w:pStyle w:val="Heading2"/>
      </w:pPr>
      <w:r>
        <w:t>7.1 The unclaimed position</w:t>
      </w:r>
    </w:p>
    <w:p>
      <w:pPr>
        <w:spacing w:after="160" w:before="0"/>
      </w:pPr>
      <w:r>
        <w:rPr>
          <w:b w:val="0"/>
          <w:i w:val="0"/>
          <w:sz w:val="22"/>
        </w:rPr>
        <w:t>No product currently combines: (a) breastfeeding-aware calorie/macro targets with supply-protective floors, (b) stage-gated postpartum fitness progression, (c) clinical credibility (RD/IBCLC/pelvic-floor PT reviewed), and (d) modern consumer-app execution with real distribution. Fitness apps have (b), sometimes (c). LatchFit gestures at (a). Nobody has the stack.</w:t>
      </w:r>
    </w:p>
    <w:p>
      <w:pPr>
        <w:pStyle w:val="Heading2"/>
      </w:pPr>
      <w:r>
        <w:t>7.2 Positioning statement</w:t>
      </w:r>
    </w:p>
    <w:tbl>
      <w:tblPr>
        <w:tblW w:type="auto" w:w="0"/>
        <w:tblLayout w:type="fixed"/>
        <w:tblLook w:firstColumn="1" w:firstRow="1" w:lastColumn="0" w:lastRow="0" w:noHBand="0" w:noVBand="1" w:val="04A0"/>
        <w:tblBorders>
          <w:top w:val="single" w:sz="4" w:space="0" w:color="2E7D6E"/>
          <w:left w:val="single" w:sz="4" w:space="0" w:color="2E7D6E"/>
          <w:bottom w:val="single" w:sz="4" w:space="0" w:color="2E7D6E"/>
          <w:right w:val="single" w:sz="4" w:space="0" w:color="2E7D6E"/>
          <w:insideH w:val="single" w:sz="4" w:space="0" w:color="2E7D6E"/>
          <w:insideV w:val="single" w:sz="4" w:space="0" w:color="2E7D6E"/>
        </w:tblBorders>
      </w:tblPr>
      <w:tblGrid>
        <w:gridCol w:w="9360"/>
      </w:tblGrid>
      <w:tr>
        <w:tc>
          <w:tcPr>
            <w:tcW w:type="dxa" w:w="9360"/>
            <w:shd w:val="clear" w:color="auto" w:fill="F0F7F5"/>
          </w:tcPr>
          <w:p>
            <w:pPr>
              <w:spacing w:after="80" w:before="40"/>
            </w:pPr>
            <w:r>
              <w:rPr>
                <w:b/>
                <w:color w:val="2E7D6E"/>
                <w:sz w:val="22"/>
              </w:rPr>
              <w:t>Positioning</w:t>
            </w:r>
          </w:p>
          <w:p>
            <w:pPr>
              <w:spacing w:after="40"/>
            </w:pPr>
            <w:r>
              <w:rPr>
                <w:sz w:val="22"/>
              </w:rPr>
              <w:t>For nursing mothers who want their strength and body back without risking their milk supply, [App] is the only weight-and-wellness coach built around lactation-safe nutrition science — unlike MyFitnessPal, which was built for everyone else.</w:t>
            </w:r>
          </w:p>
        </w:tc>
      </w:tr>
    </w:tbl>
    <w:p>
      <w:pPr>
        <w:spacing w:after="120" w:before="0"/>
      </w:pPr>
    </w:p>
    <w:p>
      <w:pPr>
        <w:pStyle w:val="Heading2"/>
      </w:pPr>
      <w:r>
        <w:t>7.3 Messaging guardrails</w:t>
      </w:r>
    </w:p>
    <w:p>
      <w:pPr>
        <w:pStyle w:val="ListBullet"/>
        <w:spacing w:after="100"/>
      </w:pPr>
      <w:r>
        <w:rPr>
          <w:b w:val="0"/>
          <w:i w:val="0"/>
          <w:sz w:val="22"/>
        </w:rPr>
        <w:t>Lead with function and safety (“feed your baby, fuel your recovery, lose the weight that's ready to go”), not “get your body back” shame framing — the audience is actively hostile to diet-culture messaging, and safety framing is also the FDA/FTC-safe lane.</w:t>
      </w:r>
    </w:p>
    <w:p>
      <w:pPr>
        <w:pStyle w:val="ListBullet"/>
        <w:spacing w:after="100"/>
      </w:pPr>
      <w:r>
        <w:rPr>
          <w:b w:val="0"/>
          <w:i w:val="0"/>
          <w:sz w:val="22"/>
        </w:rPr>
        <w:t>Never promise supply outcomes or disease prevention; frame as wellness support with evidence-informed guardrails.</w:t>
      </w:r>
    </w:p>
    <w:p>
      <w:pPr>
        <w:pStyle w:val="ListBullet"/>
        <w:spacing w:after="100"/>
      </w:pPr>
      <w:r>
        <w:rPr>
          <w:b w:val="0"/>
          <w:i w:val="0"/>
          <w:sz w:val="22"/>
        </w:rPr>
        <w:t>Publish the methodology (formulas, floors, sources) openly — it converts skeptical, research-driven millennial mothers and is content marketing in itself.</w:t>
      </w:r>
    </w:p>
    <w:p>
      <w:r>
        <w:br w:type="page"/>
      </w:r>
    </w:p>
    <w:p>
      <w:pPr>
        <w:pStyle w:val="Heading1"/>
      </w:pPr>
      <w:r>
        <w:t>8. Entry Strategy &amp; Product Roadmap</w:t>
      </w:r>
    </w:p>
    <w:p>
      <w:pPr>
        <w:pStyle w:val="Heading2"/>
      </w:pPr>
      <w:r>
        <w:t>8.1 Phase 1 — Wedge (months 0–6): the nutrition coach</w:t>
      </w:r>
    </w:p>
    <w:p>
      <w:pPr>
        <w:pStyle w:val="ListBullet"/>
        <w:spacing w:after="100"/>
      </w:pPr>
      <w:r>
        <w:rPr>
          <w:b w:val="0"/>
          <w:i w:val="0"/>
          <w:sz w:val="22"/>
        </w:rPr>
        <w:t>Onboarding: age, stage postpartum, nursing status (exclusive/combo/pumping/weaning), goal weight, delivery type. Live target preview builds trust.</w:t>
      </w:r>
    </w:p>
    <w:p>
      <w:pPr>
        <w:pStyle w:val="ListBullet"/>
        <w:spacing w:after="100"/>
      </w:pPr>
      <w:r>
        <w:rPr>
          <w:b w:val="0"/>
          <w:i w:val="0"/>
          <w:sz w:val="22"/>
        </w:rPr>
        <w:t>Core engine: BMR + activity + lactation adjustment (300–500+ kcal), hard calorie floors, gradual-deficit caps (~0.5–1 lb/wk while nursing), macro targets weighted to protein.</w:t>
      </w:r>
    </w:p>
    <w:p>
      <w:pPr>
        <w:pStyle w:val="ListBullet"/>
        <w:spacing w:after="100"/>
      </w:pPr>
      <w:r>
        <w:rPr>
          <w:b w:val="0"/>
          <w:i w:val="0"/>
          <w:sz w:val="22"/>
        </w:rPr>
        <w:t>Supply-watch loop: lightweight daily supply check-in (feeds/pump output/subjective), auto-suggests eating more when supply dips — the feature no generic app can copy without rebuilding its brand.</w:t>
      </w:r>
    </w:p>
    <w:p>
      <w:pPr>
        <w:pStyle w:val="ListBullet"/>
        <w:spacing w:after="100"/>
      </w:pPr>
      <w:r>
        <w:rPr>
          <w:b w:val="0"/>
          <w:i w:val="0"/>
          <w:sz w:val="22"/>
        </w:rPr>
        <w:t>Logging that respects a one-handed 3 a.m. user: barcode scan, photo logging, voice entry, USDA database.</w:t>
      </w:r>
    </w:p>
    <w:p>
      <w:pPr>
        <w:pStyle w:val="ListBullet"/>
        <w:spacing w:after="100"/>
      </w:pPr>
      <w:r>
        <w:rPr>
          <w:b w:val="0"/>
          <w:i w:val="0"/>
          <w:sz w:val="22"/>
        </w:rPr>
        <w:t>Progress beyond the scale: measurements, energy, strength milestones, weekly trend smoothing (scale weight is noisy while nursing).</w:t>
      </w:r>
    </w:p>
    <w:p>
      <w:pPr>
        <w:pStyle w:val="Heading2"/>
      </w:pPr>
      <w:r>
        <w:t>8.2 Phase 2 — Expand (months 6–12): stage-gated movement</w:t>
      </w:r>
    </w:p>
    <w:p>
      <w:pPr>
        <w:pStyle w:val="ListBullet"/>
        <w:spacing w:after="100"/>
      </w:pPr>
      <w:r>
        <w:rPr>
          <w:b w:val="0"/>
          <w:i w:val="0"/>
          <w:sz w:val="22"/>
        </w:rPr>
        <w:t>Pelvic floor → core → strength → impact progression, gated by symptom check-ins (leaking, heaviness, doming = downshift signals) and provider-clearance prompts.</w:t>
      </w:r>
    </w:p>
    <w:p>
      <w:pPr>
        <w:pStyle w:val="ListBullet"/>
        <w:spacing w:after="100"/>
      </w:pPr>
      <w:r>
        <w:rPr>
          <w:b w:val="0"/>
          <w:i w:val="0"/>
          <w:sz w:val="22"/>
        </w:rPr>
        <w:t>5–20 minute sessions designed around nap windows; babywearing and stroller variants.</w:t>
      </w:r>
    </w:p>
    <w:p>
      <w:pPr>
        <w:pStyle w:val="ListBullet"/>
        <w:spacing w:after="100"/>
      </w:pPr>
      <w:r>
        <w:rPr>
          <w:b w:val="0"/>
          <w:i w:val="0"/>
          <w:sz w:val="22"/>
        </w:rPr>
        <w:t>This converts the app from a tracker into a program — the retention unlock (see Section 10).</w:t>
      </w:r>
    </w:p>
    <w:p>
      <w:pPr>
        <w:pStyle w:val="Heading2"/>
      </w:pPr>
      <w:r>
        <w:t>8.3 Phase 3 — Platform (year 2+)</w:t>
      </w:r>
    </w:p>
    <w:p>
      <w:pPr>
        <w:pStyle w:val="ListBullet"/>
        <w:spacing w:after="100"/>
      </w:pPr>
      <w:r>
        <w:rPr>
          <w:b w:val="0"/>
          <w:i w:val="0"/>
          <w:sz w:val="22"/>
        </w:rPr>
        <w:t>Weaning-transition and maintenance programs to extend LTV past the nursing window; optional GLP-1-era off-ramp partnerships.</w:t>
      </w:r>
    </w:p>
    <w:p>
      <w:pPr>
        <w:pStyle w:val="ListBullet"/>
        <w:spacing w:after="100"/>
      </w:pPr>
      <w:r>
        <w:rPr>
          <w:b w:val="0"/>
          <w:i w:val="0"/>
          <w:sz w:val="22"/>
        </w:rPr>
        <w:t>Community cohorts matched by weeks-postpartum; expert AMAs (IBCLCs, RDs, pelvic PTs).</w:t>
      </w:r>
    </w:p>
    <w:p>
      <w:pPr>
        <w:pStyle w:val="ListBullet"/>
        <w:spacing w:after="100"/>
      </w:pPr>
      <w:r>
        <w:rPr>
          <w:b w:val="0"/>
          <w:i w:val="0"/>
          <w:sz w:val="22"/>
        </w:rPr>
        <w:t>B2B2C: employer benefits platforms, payers, and health-system pilots — where the Northwell relationship becomes strategically interesting.</w:t>
      </w:r>
    </w:p>
    <w:p>
      <w:pPr>
        <w:pStyle w:val="Heading2"/>
      </w:pPr>
      <w:r>
        <w:t>8.4 Moat construction (in order of durability)</w:t>
      </w:r>
    </w:p>
    <w:p>
      <w:pPr>
        <w:spacing w:after="100"/>
        <w:ind w:left="432"/>
      </w:pPr>
      <w:r>
        <w:rPr>
          <w:b/>
          <w:color w:val="2E7D6E"/>
          <w:sz w:val="22"/>
        </w:rPr>
        <w:t xml:space="preserve">1. </w:t>
      </w:r>
      <w:r>
        <w:rPr>
          <w:sz w:val="22"/>
        </w:rPr>
        <w:t>Clinical brand: “the app lactation consultants recommend” — built via an RD/IBCLC advisory board and a professional referral program. Slow to build, slow to copy.</w:t>
      </w:r>
    </w:p>
    <w:p>
      <w:pPr>
        <w:spacing w:after="100"/>
        <w:ind w:left="432"/>
      </w:pPr>
      <w:r>
        <w:rPr>
          <w:b/>
          <w:color w:val="2E7D6E"/>
          <w:sz w:val="22"/>
        </w:rPr>
        <w:t xml:space="preserve">2. </w:t>
      </w:r>
      <w:r>
        <w:rPr>
          <w:sz w:val="22"/>
        </w:rPr>
        <w:t>Proprietary dataset: supply-vs-intake outcomes across thousands of mothers — improves guardrails and is genuinely novel data.</w:t>
      </w:r>
    </w:p>
    <w:p>
      <w:pPr>
        <w:spacing w:after="100"/>
        <w:ind w:left="432"/>
      </w:pPr>
      <w:r>
        <w:rPr>
          <w:b/>
          <w:color w:val="2E7D6E"/>
          <w:sz w:val="22"/>
        </w:rPr>
        <w:t xml:space="preserve">3. </w:t>
      </w:r>
      <w:r>
        <w:rPr>
          <w:sz w:val="22"/>
        </w:rPr>
        <w:t>Community and cohort effects: same-stage groups create switching costs.</w:t>
      </w:r>
    </w:p>
    <w:p>
      <w:pPr>
        <w:spacing w:after="100"/>
        <w:ind w:left="432"/>
      </w:pPr>
      <w:r>
        <w:rPr>
          <w:b/>
          <w:color w:val="2E7D6E"/>
          <w:sz w:val="22"/>
        </w:rPr>
        <w:t xml:space="preserve">4. </w:t>
      </w:r>
      <w:r>
        <w:rPr>
          <w:sz w:val="22"/>
        </w:rPr>
        <w:t>Distribution: creator relationships and SEO compound; paid ads do not.</w:t>
      </w:r>
    </w:p>
    <w:p>
      <w:r>
        <w:br w:type="page"/>
      </w:r>
    </w:p>
    <w:p>
      <w:pPr>
        <w:pStyle w:val="Heading1"/>
      </w:pPr>
      <w:r>
        <w:t>9. Go-to-Market</w:t>
      </w:r>
    </w:p>
    <w:p>
      <w:pPr>
        <w:pStyle w:val="Heading2"/>
      </w:pPr>
      <w:r>
        <w:t>9.1 Channel plan</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60"/>
            <w:shd w:val="clear" w:color="auto" w:fill="1F3A5F"/>
          </w:tcPr>
          <w:p>
            <w:pPr>
              <w:spacing w:after="40" w:before="40"/>
            </w:pPr>
            <w:r>
              <w:rPr>
                <w:b/>
                <w:color w:val="FFFFFF"/>
                <w:sz w:val="20"/>
              </w:rPr>
              <w:t>Channel</w:t>
            </w:r>
          </w:p>
        </w:tc>
        <w:tc>
          <w:tcPr>
            <w:tcW w:type="dxa" w:w="4752"/>
            <w:shd w:val="clear" w:color="auto" w:fill="1F3A5F"/>
          </w:tcPr>
          <w:p>
            <w:pPr>
              <w:spacing w:after="40" w:before="40"/>
            </w:pPr>
            <w:r>
              <w:rPr>
                <w:b/>
                <w:color w:val="FFFFFF"/>
                <w:sz w:val="20"/>
              </w:rPr>
              <w:t>Why it works here</w:t>
            </w:r>
          </w:p>
        </w:tc>
        <w:tc>
          <w:tcPr>
            <w:tcW w:type="dxa" w:w="2448"/>
            <w:shd w:val="clear" w:color="auto" w:fill="1F3A5F"/>
          </w:tcPr>
          <w:p>
            <w:pPr>
              <w:spacing w:after="40" w:before="40"/>
            </w:pPr>
            <w:r>
              <w:rPr>
                <w:b/>
                <w:color w:val="FFFFFF"/>
                <w:sz w:val="20"/>
              </w:rPr>
              <w:t>Cost profile</w:t>
            </w:r>
          </w:p>
        </w:tc>
      </w:tr>
      <w:tr>
        <w:tc>
          <w:tcPr>
            <w:tcW w:type="dxa" w:w="2160"/>
          </w:tcPr>
          <w:p>
            <w:pPr>
              <w:spacing w:after="40" w:before="40"/>
            </w:pPr>
            <w:r>
              <w:rPr>
                <w:sz w:val="20"/>
              </w:rPr>
              <w:t>TikTok/IG creator content</w:t>
            </w:r>
          </w:p>
        </w:tc>
        <w:tc>
          <w:tcPr>
            <w:tcW w:type="dxa" w:w="4752"/>
          </w:tcPr>
          <w:p>
            <w:pPr>
              <w:spacing w:after="40" w:before="40"/>
            </w:pPr>
            <w:r>
              <w:rPr>
                <w:sz w:val="20"/>
              </w:rPr>
              <w:t>Postpartum fitness is a proven MomTok genre; audience makes purchase decisions in-feed. Founding creator advantage (see 9.2).</w:t>
            </w:r>
          </w:p>
        </w:tc>
        <w:tc>
          <w:tcPr>
            <w:tcW w:type="dxa" w:w="2448"/>
          </w:tcPr>
          <w:p>
            <w:pPr>
              <w:spacing w:after="40" w:before="40"/>
            </w:pPr>
            <w:r>
              <w:rPr>
                <w:sz w:val="20"/>
              </w:rPr>
              <w:t>Low cash; equity/rev-share with micro-creators</w:t>
            </w:r>
          </w:p>
        </w:tc>
      </w:tr>
      <w:tr>
        <w:tc>
          <w:tcPr>
            <w:tcW w:type="dxa" w:w="2160"/>
            <w:shd w:val="clear" w:color="auto" w:fill="EEF2F6"/>
          </w:tcPr>
          <w:p>
            <w:pPr>
              <w:spacing w:after="40" w:before="40"/>
            </w:pPr>
            <w:r>
              <w:rPr>
                <w:sz w:val="20"/>
              </w:rPr>
              <w:t>SEO / content</w:t>
            </w:r>
          </w:p>
        </w:tc>
        <w:tc>
          <w:tcPr>
            <w:tcW w:type="dxa" w:w="4752"/>
            <w:shd w:val="clear" w:color="auto" w:fill="EEF2F6"/>
          </w:tcPr>
          <w:p>
            <w:pPr>
              <w:spacing w:after="40" w:before="40"/>
            </w:pPr>
            <w:r>
              <w:rPr>
                <w:sz w:val="20"/>
              </w:rPr>
              <w:t>High-intent queries (“calories while breastfeeding”, “weight loss milk supply”) with weak incumbent content; RD-bylined articles double as credibility.</w:t>
            </w:r>
          </w:p>
        </w:tc>
        <w:tc>
          <w:tcPr>
            <w:tcW w:type="dxa" w:w="2448"/>
            <w:shd w:val="clear" w:color="auto" w:fill="EEF2F6"/>
          </w:tcPr>
          <w:p>
            <w:pPr>
              <w:spacing w:after="40" w:before="40"/>
            </w:pPr>
            <w:r>
              <w:rPr>
                <w:sz w:val="20"/>
              </w:rPr>
              <w:t>Founder time, compounding</w:t>
            </w:r>
          </w:p>
        </w:tc>
      </w:tr>
      <w:tr>
        <w:tc>
          <w:tcPr>
            <w:tcW w:type="dxa" w:w="2160"/>
          </w:tcPr>
          <w:p>
            <w:pPr>
              <w:spacing w:after="40" w:before="40"/>
            </w:pPr>
            <w:r>
              <w:rPr>
                <w:sz w:val="20"/>
              </w:rPr>
              <w:t>IBCLC &amp; lactation-consultant referrals</w:t>
            </w:r>
          </w:p>
        </w:tc>
        <w:tc>
          <w:tcPr>
            <w:tcW w:type="dxa" w:w="4752"/>
          </w:tcPr>
          <w:p>
            <w:pPr>
              <w:spacing w:after="40" w:before="40"/>
            </w:pPr>
            <w:r>
              <w:rPr>
                <w:sz w:val="20"/>
              </w:rPr>
              <w:t>Trusted professionals asked this exact question daily; no product to recommend today. Referral kit + free pro accounts.</w:t>
            </w:r>
          </w:p>
        </w:tc>
        <w:tc>
          <w:tcPr>
            <w:tcW w:type="dxa" w:w="2448"/>
          </w:tcPr>
          <w:p>
            <w:pPr>
              <w:spacing w:after="40" w:before="40"/>
            </w:pPr>
            <w:r>
              <w:rPr>
                <w:sz w:val="20"/>
              </w:rPr>
              <w:t>Low; high-trust installs</w:t>
            </w:r>
          </w:p>
        </w:tc>
      </w:tr>
      <w:tr>
        <w:tc>
          <w:tcPr>
            <w:tcW w:type="dxa" w:w="2160"/>
            <w:shd w:val="clear" w:color="auto" w:fill="EEF2F6"/>
          </w:tcPr>
          <w:p>
            <w:pPr>
              <w:spacing w:after="40" w:before="40"/>
            </w:pPr>
            <w:r>
              <w:rPr>
                <w:sz w:val="20"/>
              </w:rPr>
              <w:t>Reddit/Facebook mom communities</w:t>
            </w:r>
          </w:p>
        </w:tc>
        <w:tc>
          <w:tcPr>
            <w:tcW w:type="dxa" w:w="4752"/>
            <w:shd w:val="clear" w:color="auto" w:fill="EEF2F6"/>
          </w:tcPr>
          <w:p>
            <w:pPr>
              <w:spacing w:after="40" w:before="40"/>
            </w:pPr>
            <w:r>
              <w:rPr>
                <w:sz w:val="20"/>
              </w:rPr>
              <w:t>Where the −500 kcal workaround folklore lives; authentic founder participation, not ads.</w:t>
            </w:r>
          </w:p>
        </w:tc>
        <w:tc>
          <w:tcPr>
            <w:tcW w:type="dxa" w:w="2448"/>
            <w:shd w:val="clear" w:color="auto" w:fill="EEF2F6"/>
          </w:tcPr>
          <w:p>
            <w:pPr>
              <w:spacing w:after="40" w:before="40"/>
            </w:pPr>
            <w:r>
              <w:rPr>
                <w:sz w:val="20"/>
              </w:rPr>
              <w:t>Time</w:t>
            </w:r>
          </w:p>
        </w:tc>
      </w:tr>
      <w:tr>
        <w:tc>
          <w:tcPr>
            <w:tcW w:type="dxa" w:w="2160"/>
          </w:tcPr>
          <w:p>
            <w:pPr>
              <w:spacing w:after="40" w:before="40"/>
            </w:pPr>
            <w:r>
              <w:rPr>
                <w:sz w:val="20"/>
              </w:rPr>
              <w:t>App Store optimization</w:t>
            </w:r>
          </w:p>
        </w:tc>
        <w:tc>
          <w:tcPr>
            <w:tcW w:type="dxa" w:w="4752"/>
          </w:tcPr>
          <w:p>
            <w:pPr>
              <w:spacing w:after="40" w:before="40"/>
            </w:pPr>
            <w:r>
              <w:rPr>
                <w:sz w:val="20"/>
              </w:rPr>
              <w:t>Micro-competitors rank for “breastfeeding weight loss” with weak apps; category keywords are winnable.</w:t>
            </w:r>
          </w:p>
        </w:tc>
        <w:tc>
          <w:tcPr>
            <w:tcW w:type="dxa" w:w="2448"/>
          </w:tcPr>
          <w:p>
            <w:pPr>
              <w:spacing w:after="40" w:before="40"/>
            </w:pPr>
            <w:r>
              <w:rPr>
                <w:sz w:val="20"/>
              </w:rPr>
              <w:t>Low</w:t>
            </w:r>
          </w:p>
        </w:tc>
      </w:tr>
      <w:tr>
        <w:tc>
          <w:tcPr>
            <w:tcW w:type="dxa" w:w="2160"/>
            <w:shd w:val="clear" w:color="auto" w:fill="EEF2F6"/>
          </w:tcPr>
          <w:p>
            <w:pPr>
              <w:spacing w:after="40" w:before="40"/>
            </w:pPr>
            <w:r>
              <w:rPr>
                <w:sz w:val="20"/>
              </w:rPr>
              <w:t>Paid social (later)</w:t>
            </w:r>
          </w:p>
        </w:tc>
        <w:tc>
          <w:tcPr>
            <w:tcW w:type="dxa" w:w="4752"/>
            <w:shd w:val="clear" w:color="auto" w:fill="EEF2F6"/>
          </w:tcPr>
          <w:p>
            <w:pPr>
              <w:spacing w:after="40" w:before="40"/>
            </w:pPr>
            <w:r>
              <w:rPr>
                <w:sz w:val="20"/>
              </w:rPr>
              <w:t>Only after organic proves LTV; fitness-app CAC via paid is brutal at seed stage.</w:t>
            </w:r>
          </w:p>
        </w:tc>
        <w:tc>
          <w:tcPr>
            <w:tcW w:type="dxa" w:w="2448"/>
            <w:shd w:val="clear" w:color="auto" w:fill="EEF2F6"/>
          </w:tcPr>
          <w:p>
            <w:pPr>
              <w:spacing w:after="40" w:before="40"/>
            </w:pPr>
            <w:r>
              <w:rPr>
                <w:sz w:val="20"/>
              </w:rPr>
              <w:t>Deferred</w:t>
            </w:r>
          </w:p>
        </w:tc>
      </w:tr>
    </w:tbl>
    <w:p>
      <w:pPr>
        <w:spacing w:after="120" w:before="0"/>
      </w:pPr>
    </w:p>
    <w:p>
      <w:pPr>
        <w:pStyle w:val="Heading2"/>
      </w:pPr>
      <w:r>
        <w:t>9.2 The founding-creator advantage — used correctly</w:t>
      </w:r>
    </w:p>
    <w:p>
      <w:pPr>
        <w:spacing w:after="160" w:before="0"/>
      </w:pPr>
      <w:r>
        <w:rPr>
          <w:b w:val="0"/>
          <w:i w:val="0"/>
          <w:sz w:val="22"/>
        </w:rPr>
        <w:t>A family member who is simultaneously a health-system executive, a new mother of two, and an active TikTok creator is a legitimate unfair advantage: she is the target user, she understands clinical credibility, and she owns distribution in exactly the right audience. Plan on her functioning as launch creator and product muse — authentic “what I eat while nursing / how I'm rebuilding” content that features the app.</w:t>
      </w:r>
    </w:p>
    <w:p>
      <w:pPr>
        <w:spacing w:after="160" w:before="0"/>
      </w:pPr>
      <w:r>
        <w:rPr>
          <w:b/>
          <w:i w:val="0"/>
          <w:sz w:val="22"/>
        </w:rPr>
        <w:t>Compliance is non-negotiable and cheap to do right:</w:t>
      </w:r>
    </w:p>
    <w:p>
      <w:pPr>
        <w:pStyle w:val="ListBullet"/>
        <w:spacing w:after="100"/>
      </w:pPr>
      <w:r>
        <w:rPr>
          <w:b w:val="0"/>
          <w:i w:val="0"/>
          <w:sz w:val="22"/>
        </w:rPr>
        <w:t>FTC endorsement rules treat family and financial relationships as “material connections” requiring clear, conspicuous disclosure in the content itself — a #ad tag or spoken disclosure, not a buried hashtag. Penalties run to ~$53K per violation, and health products draw disproportionate enforcement attention.</w:t>
      </w:r>
    </w:p>
    <w:p>
      <w:pPr>
        <w:pStyle w:val="ListBullet"/>
        <w:spacing w:after="100"/>
      </w:pPr>
      <w:r>
        <w:rPr>
          <w:b w:val="0"/>
          <w:i w:val="0"/>
          <w:sz w:val="22"/>
        </w:rPr>
        <w:t>Disclosure does not blunt the channel: sponsored-but-authentic creator content is the norm the audience expects. What actually converts is her credibility and the product demo, not the absence of #ad.</w:t>
      </w:r>
    </w:p>
    <w:p>
      <w:pPr>
        <w:pStyle w:val="ListBullet"/>
        <w:spacing w:after="100"/>
      </w:pPr>
      <w:r>
        <w:rPr>
          <w:b w:val="0"/>
          <w:i w:val="0"/>
          <w:sz w:val="22"/>
        </w:rPr>
        <w:t>Her employer question is separate from public attachment: even as a paid creator rather than a founder/officer, she should quietly confirm her employment agreement's outside-activities and social-media policy. One HR email now beats an awkward conversation later, especially if B2B2C conversations with health systems (potentially including her own) are on the roadmap.</w:t>
      </w:r>
    </w:p>
    <w:p>
      <w:pPr>
        <w:pStyle w:val="Heading2"/>
      </w:pPr>
      <w:r>
        <w:t>9.3 Launch sequencing (first 90 days)</w:t>
      </w:r>
    </w:p>
    <w:p>
      <w:pPr>
        <w:spacing w:after="100"/>
        <w:ind w:left="432"/>
      </w:pPr>
      <w:r>
        <w:rPr>
          <w:b/>
          <w:color w:val="2E7D6E"/>
          <w:sz w:val="22"/>
        </w:rPr>
        <w:t xml:space="preserve">1. </w:t>
      </w:r>
      <w:r>
        <w:rPr>
          <w:sz w:val="22"/>
        </w:rPr>
        <w:t>Weeks 1–4: 20 customer-discovery interviews recruited from mom groups; validate willingness to pay and the supply-anxiety framing. Recruit RD + IBCLC advisors (advisory equity).</w:t>
      </w:r>
    </w:p>
    <w:p>
      <w:pPr>
        <w:spacing w:after="100"/>
        <w:ind w:left="432"/>
      </w:pPr>
      <w:r>
        <w:rPr>
          <w:b/>
          <w:color w:val="2E7D6E"/>
          <w:sz w:val="22"/>
        </w:rPr>
        <w:t xml:space="preserve">2. </w:t>
      </w:r>
      <w:r>
        <w:rPr>
          <w:sz w:val="22"/>
        </w:rPr>
        <w:t>Weeks 3–8: MVP build of the nutrition engine + logging; TestFlight beta seeded through the founding creator's audience and two mom Facebook groups (target: 200 beta users).</w:t>
      </w:r>
    </w:p>
    <w:p>
      <w:pPr>
        <w:spacing w:after="100"/>
        <w:ind w:left="432"/>
      </w:pPr>
      <w:r>
        <w:rPr>
          <w:b/>
          <w:color w:val="2E7D6E"/>
          <w:sz w:val="22"/>
        </w:rPr>
        <w:t xml:space="preserve">3. </w:t>
      </w:r>
      <w:r>
        <w:rPr>
          <w:sz w:val="22"/>
        </w:rPr>
        <w:t>Weeks 6–10: methodology page + first 10 SEO articles live; IBCLC referral kit drafted and tested with 5 consultants.</w:t>
      </w:r>
    </w:p>
    <w:p>
      <w:pPr>
        <w:spacing w:after="100"/>
        <w:ind w:left="432"/>
      </w:pPr>
      <w:r>
        <w:rPr>
          <w:b/>
          <w:color w:val="2E7D6E"/>
          <w:sz w:val="22"/>
        </w:rPr>
        <w:t xml:space="preserve">4. </w:t>
      </w:r>
      <w:r>
        <w:rPr>
          <w:sz w:val="22"/>
        </w:rPr>
        <w:t>Weeks 10–13: public launch — coordinated creator content burst (founding creator + 10–15 nano/micro creators on product-seeding or small paid deals, all disclosed), App Store launch pricing, PR pitch to parenting media.</w:t>
      </w:r>
    </w:p>
    <w:p>
      <w:r>
        <w:br w:type="page"/>
      </w:r>
    </w:p>
    <w:p>
      <w:pPr>
        <w:pStyle w:val="Heading1"/>
      </w:pPr>
      <w:r>
        <w:t>10. Business Model &amp; Unit Economics</w:t>
      </w:r>
    </w:p>
    <w:p>
      <w:pPr>
        <w:pStyle w:val="Heading2"/>
      </w:pPr>
      <w:r>
        <w:t>10.1 Pricing</w:t>
      </w:r>
    </w:p>
    <w:p>
      <w:pPr>
        <w:spacing w:after="160" w:before="0"/>
      </w:pPr>
      <w:r>
        <w:rPr>
          <w:b w:val="0"/>
          <w:i w:val="0"/>
          <w:sz w:val="22"/>
        </w:rPr>
        <w:t>Recommended: freemium with a 7-day trial; $12.99/month or $79.99/year (effective ~$6.70/mo annual). This undercuts MUTU ($28/mo) and The Sculpt Society ($25/mo) while pricing above throwaway utilities — signaling substance. Annual-first presentation is standard best practice in the category and partially insulates against the niche's structural churn.</w:t>
      </w:r>
    </w:p>
    <w:p>
      <w:pPr>
        <w:pStyle w:val="Heading2"/>
      </w:pPr>
      <w:r>
        <w:t>10.2 The retention problem, stated honestly</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6480"/>
            <w:shd w:val="clear" w:color="auto" w:fill="1F3A5F"/>
          </w:tcPr>
          <w:p>
            <w:pPr>
              <w:spacing w:after="40" w:before="40"/>
            </w:pPr>
            <w:r>
              <w:rPr>
                <w:b/>
                <w:color w:val="FFFFFF"/>
                <w:sz w:val="20"/>
              </w:rPr>
              <w:t>Benchmark (health &amp; fitness apps)</w:t>
            </w:r>
          </w:p>
        </w:tc>
        <w:tc>
          <w:tcPr>
            <w:tcW w:type="dxa" w:w="2880"/>
            <w:shd w:val="clear" w:color="auto" w:fill="1F3A5F"/>
          </w:tcPr>
          <w:p>
            <w:pPr>
              <w:spacing w:after="40" w:before="40"/>
            </w:pPr>
            <w:r>
              <w:rPr>
                <w:b/>
                <w:color w:val="FFFFFF"/>
                <w:sz w:val="20"/>
              </w:rPr>
              <w:t>Value</w:t>
            </w:r>
          </w:p>
        </w:tc>
      </w:tr>
      <w:tr>
        <w:tc>
          <w:tcPr>
            <w:tcW w:type="dxa" w:w="6480"/>
          </w:tcPr>
          <w:p>
            <w:pPr>
              <w:spacing w:after="40" w:before="40"/>
            </w:pPr>
            <w:r>
              <w:rPr>
                <w:sz w:val="20"/>
              </w:rPr>
              <w:t>Day-30 retention</w:t>
            </w:r>
          </w:p>
        </w:tc>
        <w:tc>
          <w:tcPr>
            <w:tcW w:type="dxa" w:w="2880"/>
          </w:tcPr>
          <w:p>
            <w:pPr>
              <w:spacing w:after="40" w:before="40"/>
            </w:pPr>
            <w:r>
              <w:rPr>
                <w:sz w:val="20"/>
              </w:rPr>
              <w:t>8–12% typical; leaders ~25%</w:t>
            </w:r>
          </w:p>
        </w:tc>
      </w:tr>
      <w:tr>
        <w:tc>
          <w:tcPr>
            <w:tcW w:type="dxa" w:w="6480"/>
            <w:shd w:val="clear" w:color="auto" w:fill="EEF2F6"/>
          </w:tcPr>
          <w:p>
            <w:pPr>
              <w:spacing w:after="40" w:before="40"/>
            </w:pPr>
            <w:r>
              <w:rPr>
                <w:sz w:val="20"/>
              </w:rPr>
              <w:t>Median monthly churn</w:t>
            </w:r>
          </w:p>
        </w:tc>
        <w:tc>
          <w:tcPr>
            <w:tcW w:type="dxa" w:w="2880"/>
            <w:shd w:val="clear" w:color="auto" w:fill="EEF2F6"/>
          </w:tcPr>
          <w:p>
            <w:pPr>
              <w:spacing w:after="40" w:before="40"/>
            </w:pPr>
            <w:r>
              <w:rPr>
                <w:sz w:val="20"/>
              </w:rPr>
              <w:t>10–13% (top quartile 4–6%)</w:t>
            </w:r>
          </w:p>
        </w:tc>
      </w:tr>
      <w:tr>
        <w:tc>
          <w:tcPr>
            <w:tcW w:type="dxa" w:w="6480"/>
          </w:tcPr>
          <w:p>
            <w:pPr>
              <w:spacing w:after="40" w:before="40"/>
            </w:pPr>
            <w:r>
              <w:rPr>
                <w:sz w:val="20"/>
              </w:rPr>
              <w:t>Annual-plan renewal rate</w:t>
            </w:r>
          </w:p>
        </w:tc>
        <w:tc>
          <w:tcPr>
            <w:tcW w:type="dxa" w:w="2880"/>
          </w:tcPr>
          <w:p>
            <w:pPr>
              <w:spacing w:after="40" w:before="40"/>
            </w:pPr>
            <w:r>
              <w:rPr>
                <w:sz w:val="20"/>
              </w:rPr>
              <w:t>~33%</w:t>
            </w:r>
          </w:p>
        </w:tc>
      </w:tr>
      <w:tr>
        <w:tc>
          <w:tcPr>
            <w:tcW w:type="dxa" w:w="6480"/>
            <w:shd w:val="clear" w:color="auto" w:fill="EEF2F6"/>
          </w:tcPr>
          <w:p>
            <w:pPr>
              <w:spacing w:after="40" w:before="40"/>
            </w:pPr>
            <w:r>
              <w:rPr>
                <w:sz w:val="20"/>
              </w:rPr>
              <w:t>First-renewal churn (monthly plans)</w:t>
            </w:r>
          </w:p>
        </w:tc>
        <w:tc>
          <w:tcPr>
            <w:tcW w:type="dxa" w:w="2880"/>
            <w:shd w:val="clear" w:color="auto" w:fill="EEF2F6"/>
          </w:tcPr>
          <w:p>
            <w:pPr>
              <w:spacing w:after="40" w:before="40"/>
            </w:pPr>
            <w:r>
              <w:rPr>
                <w:sz w:val="20"/>
              </w:rPr>
              <w:t>15–40%</w:t>
            </w:r>
          </w:p>
        </w:tc>
      </w:tr>
    </w:tbl>
    <w:p>
      <w:pPr>
        <w:spacing w:after="120" w:before="0"/>
      </w:pPr>
    </w:p>
    <w:p>
      <w:pPr>
        <w:spacing w:after="160" w:before="0"/>
      </w:pPr>
      <w:r>
        <w:rPr>
          <w:b w:val="0"/>
          <w:i w:val="0"/>
          <w:sz w:val="22"/>
        </w:rPr>
        <w:t>This category's twist: users age out by design as babies wean — a 12–18-month natural LTV ceiling per user. Three mitigations: (1) annual pricing captures most of the realistic LTV upfront; (2) Phase-2 program content (a 12-week arc with visible progression) is what separates leader-tier retention from median; (3) pregnancy-stage entry (prenatal nutrition mode) and post-weaning maintenance extend the window on both ends. The self-renewing 3.1M annual cohort means acquisition, not retention, is the long-run engine — which is why owning the IBCLC/creator channels matters more than squeezing churn.</w:t>
      </w:r>
    </w:p>
    <w:p>
      <w:pPr>
        <w:pStyle w:val="Heading2"/>
      </w:pPr>
      <w:r>
        <w:t>10.3 Illustrative year-one P&amp;L shape</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3600"/>
            <w:shd w:val="clear" w:color="auto" w:fill="1F3A5F"/>
          </w:tcPr>
          <w:p>
            <w:pPr>
              <w:spacing w:after="40" w:before="40"/>
            </w:pPr>
            <w:r>
              <w:rPr>
                <w:b/>
                <w:color w:val="FFFFFF"/>
                <w:sz w:val="20"/>
              </w:rPr>
              <w:t>Line</w:t>
            </w:r>
          </w:p>
        </w:tc>
        <w:tc>
          <w:tcPr>
            <w:tcW w:type="dxa" w:w="1872"/>
            <w:shd w:val="clear" w:color="auto" w:fill="1F3A5F"/>
          </w:tcPr>
          <w:p>
            <w:pPr>
              <w:spacing w:after="40" w:before="40"/>
            </w:pPr>
            <w:r>
              <w:rPr>
                <w:b/>
                <w:color w:val="FFFFFF"/>
                <w:sz w:val="20"/>
              </w:rPr>
              <w:t>Conservative</w:t>
            </w:r>
          </w:p>
        </w:tc>
        <w:tc>
          <w:tcPr>
            <w:tcW w:type="dxa" w:w="1872"/>
            <w:shd w:val="clear" w:color="auto" w:fill="1F3A5F"/>
          </w:tcPr>
          <w:p>
            <w:pPr>
              <w:spacing w:after="40" w:before="40"/>
            </w:pPr>
            <w:r>
              <w:rPr>
                <w:b/>
                <w:color w:val="FFFFFF"/>
                <w:sz w:val="20"/>
              </w:rPr>
              <w:t>Base</w:t>
            </w:r>
          </w:p>
        </w:tc>
        <w:tc>
          <w:tcPr>
            <w:tcW w:type="dxa" w:w="2016"/>
            <w:shd w:val="clear" w:color="auto" w:fill="1F3A5F"/>
          </w:tcPr>
          <w:p>
            <w:pPr>
              <w:spacing w:after="40" w:before="40"/>
            </w:pPr>
            <w:r>
              <w:rPr>
                <w:b/>
                <w:color w:val="FFFFFF"/>
                <w:sz w:val="20"/>
              </w:rPr>
              <w:t>Stretch</w:t>
            </w:r>
          </w:p>
        </w:tc>
      </w:tr>
      <w:tr>
        <w:tc>
          <w:tcPr>
            <w:tcW w:type="dxa" w:w="3600"/>
          </w:tcPr>
          <w:p>
            <w:pPr>
              <w:spacing w:after="40" w:before="40"/>
            </w:pPr>
            <w:r>
              <w:rPr>
                <w:sz w:val="20"/>
              </w:rPr>
              <w:t>Downloads (yr 1)</w:t>
            </w:r>
          </w:p>
        </w:tc>
        <w:tc>
          <w:tcPr>
            <w:tcW w:type="dxa" w:w="1872"/>
          </w:tcPr>
          <w:p>
            <w:pPr>
              <w:spacing w:after="40" w:before="40"/>
            </w:pPr>
            <w:r>
              <w:rPr>
                <w:sz w:val="20"/>
              </w:rPr>
              <w:t>60K</w:t>
            </w:r>
          </w:p>
        </w:tc>
        <w:tc>
          <w:tcPr>
            <w:tcW w:type="dxa" w:w="1872"/>
          </w:tcPr>
          <w:p>
            <w:pPr>
              <w:spacing w:after="40" w:before="40"/>
            </w:pPr>
            <w:r>
              <w:rPr>
                <w:sz w:val="20"/>
              </w:rPr>
              <w:t>150K</w:t>
            </w:r>
          </w:p>
        </w:tc>
        <w:tc>
          <w:tcPr>
            <w:tcW w:type="dxa" w:w="2016"/>
          </w:tcPr>
          <w:p>
            <w:pPr>
              <w:spacing w:after="40" w:before="40"/>
            </w:pPr>
            <w:r>
              <w:rPr>
                <w:sz w:val="20"/>
              </w:rPr>
              <w:t>350K</w:t>
            </w:r>
          </w:p>
        </w:tc>
      </w:tr>
      <w:tr>
        <w:tc>
          <w:tcPr>
            <w:tcW w:type="dxa" w:w="3600"/>
            <w:shd w:val="clear" w:color="auto" w:fill="EEF2F6"/>
          </w:tcPr>
          <w:p>
            <w:pPr>
              <w:spacing w:after="40" w:before="40"/>
            </w:pPr>
            <w:r>
              <w:rPr>
                <w:sz w:val="20"/>
              </w:rPr>
              <w:t>Free→paid conversion</w:t>
            </w:r>
          </w:p>
        </w:tc>
        <w:tc>
          <w:tcPr>
            <w:tcW w:type="dxa" w:w="1872"/>
            <w:shd w:val="clear" w:color="auto" w:fill="EEF2F6"/>
          </w:tcPr>
          <w:p>
            <w:pPr>
              <w:spacing w:after="40" w:before="40"/>
            </w:pPr>
            <w:r>
              <w:rPr>
                <w:sz w:val="20"/>
              </w:rPr>
              <w:t>5%</w:t>
            </w:r>
          </w:p>
        </w:tc>
        <w:tc>
          <w:tcPr>
            <w:tcW w:type="dxa" w:w="1872"/>
            <w:shd w:val="clear" w:color="auto" w:fill="EEF2F6"/>
          </w:tcPr>
          <w:p>
            <w:pPr>
              <w:spacing w:after="40" w:before="40"/>
            </w:pPr>
            <w:r>
              <w:rPr>
                <w:sz w:val="20"/>
              </w:rPr>
              <w:t>7%</w:t>
            </w:r>
          </w:p>
        </w:tc>
        <w:tc>
          <w:tcPr>
            <w:tcW w:type="dxa" w:w="2016"/>
            <w:shd w:val="clear" w:color="auto" w:fill="EEF2F6"/>
          </w:tcPr>
          <w:p>
            <w:pPr>
              <w:spacing w:after="40" w:before="40"/>
            </w:pPr>
            <w:r>
              <w:rPr>
                <w:sz w:val="20"/>
              </w:rPr>
              <w:t>9%</w:t>
            </w:r>
          </w:p>
        </w:tc>
      </w:tr>
      <w:tr>
        <w:tc>
          <w:tcPr>
            <w:tcW w:type="dxa" w:w="3600"/>
          </w:tcPr>
          <w:p>
            <w:pPr>
              <w:spacing w:after="40" w:before="40"/>
            </w:pPr>
            <w:r>
              <w:rPr>
                <w:sz w:val="20"/>
              </w:rPr>
              <w:t>Paying subscribers (exit)</w:t>
            </w:r>
          </w:p>
        </w:tc>
        <w:tc>
          <w:tcPr>
            <w:tcW w:type="dxa" w:w="1872"/>
          </w:tcPr>
          <w:p>
            <w:pPr>
              <w:spacing w:after="40" w:before="40"/>
            </w:pPr>
            <w:r>
              <w:rPr>
                <w:sz w:val="20"/>
              </w:rPr>
              <w:t>~3K</w:t>
            </w:r>
          </w:p>
        </w:tc>
        <w:tc>
          <w:tcPr>
            <w:tcW w:type="dxa" w:w="1872"/>
          </w:tcPr>
          <w:p>
            <w:pPr>
              <w:spacing w:after="40" w:before="40"/>
            </w:pPr>
            <w:r>
              <w:rPr>
                <w:sz w:val="20"/>
              </w:rPr>
              <w:t>~10K</w:t>
            </w:r>
          </w:p>
        </w:tc>
        <w:tc>
          <w:tcPr>
            <w:tcW w:type="dxa" w:w="2016"/>
          </w:tcPr>
          <w:p>
            <w:pPr>
              <w:spacing w:after="40" w:before="40"/>
            </w:pPr>
            <w:r>
              <w:rPr>
                <w:sz w:val="20"/>
              </w:rPr>
              <w:t>~30K</w:t>
            </w:r>
          </w:p>
        </w:tc>
      </w:tr>
      <w:tr>
        <w:tc>
          <w:tcPr>
            <w:tcW w:type="dxa" w:w="3600"/>
            <w:shd w:val="clear" w:color="auto" w:fill="EEF2F6"/>
          </w:tcPr>
          <w:p>
            <w:pPr>
              <w:spacing w:after="40" w:before="40"/>
            </w:pPr>
            <w:r>
              <w:rPr>
                <w:sz w:val="20"/>
              </w:rPr>
              <w:t>Effective ARPU/yr</w:t>
            </w:r>
          </w:p>
        </w:tc>
        <w:tc>
          <w:tcPr>
            <w:tcW w:type="dxa" w:w="1872"/>
            <w:shd w:val="clear" w:color="auto" w:fill="EEF2F6"/>
          </w:tcPr>
          <w:p>
            <w:pPr>
              <w:spacing w:after="40" w:before="40"/>
            </w:pPr>
            <w:r>
              <w:rPr>
                <w:sz w:val="20"/>
              </w:rPr>
              <w:t>$95</w:t>
            </w:r>
          </w:p>
        </w:tc>
        <w:tc>
          <w:tcPr>
            <w:tcW w:type="dxa" w:w="1872"/>
            <w:shd w:val="clear" w:color="auto" w:fill="EEF2F6"/>
          </w:tcPr>
          <w:p>
            <w:pPr>
              <w:spacing w:after="40" w:before="40"/>
            </w:pPr>
            <w:r>
              <w:rPr>
                <w:sz w:val="20"/>
              </w:rPr>
              <w:t>$105</w:t>
            </w:r>
          </w:p>
        </w:tc>
        <w:tc>
          <w:tcPr>
            <w:tcW w:type="dxa" w:w="2016"/>
            <w:shd w:val="clear" w:color="auto" w:fill="EEF2F6"/>
          </w:tcPr>
          <w:p>
            <w:pPr>
              <w:spacing w:after="40" w:before="40"/>
            </w:pPr>
            <w:r>
              <w:rPr>
                <w:sz w:val="20"/>
              </w:rPr>
              <w:t>$115</w:t>
            </w:r>
          </w:p>
        </w:tc>
      </w:tr>
      <w:tr>
        <w:tc>
          <w:tcPr>
            <w:tcW w:type="dxa" w:w="3600"/>
          </w:tcPr>
          <w:p>
            <w:pPr>
              <w:spacing w:after="40" w:before="40"/>
            </w:pPr>
            <w:r>
              <w:rPr>
                <w:sz w:val="20"/>
              </w:rPr>
              <w:t>ARR (exit run-rate)</w:t>
            </w:r>
          </w:p>
        </w:tc>
        <w:tc>
          <w:tcPr>
            <w:tcW w:type="dxa" w:w="1872"/>
          </w:tcPr>
          <w:p>
            <w:pPr>
              <w:spacing w:after="40" w:before="40"/>
            </w:pPr>
            <w:r>
              <w:rPr>
                <w:sz w:val="20"/>
              </w:rPr>
              <w:t>~$0.3M</w:t>
            </w:r>
          </w:p>
        </w:tc>
        <w:tc>
          <w:tcPr>
            <w:tcW w:type="dxa" w:w="1872"/>
          </w:tcPr>
          <w:p>
            <w:pPr>
              <w:spacing w:after="40" w:before="40"/>
            </w:pPr>
            <w:r>
              <w:rPr>
                <w:sz w:val="20"/>
              </w:rPr>
              <w:t>~$1.1M</w:t>
            </w:r>
          </w:p>
        </w:tc>
        <w:tc>
          <w:tcPr>
            <w:tcW w:type="dxa" w:w="2016"/>
          </w:tcPr>
          <w:p>
            <w:pPr>
              <w:spacing w:after="40" w:before="40"/>
            </w:pPr>
            <w:r>
              <w:rPr>
                <w:sz w:val="20"/>
              </w:rPr>
              <w:t>~$3.4M</w:t>
            </w:r>
          </w:p>
        </w:tc>
      </w:tr>
    </w:tbl>
    <w:p>
      <w:pPr>
        <w:spacing w:after="120" w:before="0"/>
      </w:pPr>
    </w:p>
    <w:p>
      <w:pPr>
        <w:spacing w:after="160" w:before="0"/>
      </w:pPr>
      <w:r>
        <w:rPr>
          <w:b w:val="0"/>
          <w:i w:val="0"/>
          <w:sz w:val="22"/>
        </w:rPr>
        <w:t>Conversion assumptions bracket published health-app benchmarks (trial-to-paid commonly 3–9% from organic installs). The swing variable is the creator channel: one genuinely viral launch cycle historically moves download figures by an order of magnitude in this genre.</w:t>
      </w:r>
    </w:p>
    <w:p>
      <w:r>
        <w:br w:type="page"/>
      </w:r>
    </w:p>
    <w:p>
      <w:pPr>
        <w:pStyle w:val="Heading1"/>
      </w:pPr>
      <w:r>
        <w:t>11. Regulatory, Safety &amp; Liability</w:t>
      </w:r>
    </w:p>
    <w:p>
      <w:pPr>
        <w:pStyle w:val="Heading2"/>
      </w:pPr>
      <w:r>
        <w:t>11.1 FDA — stay in the wellness lane</w:t>
      </w:r>
    </w:p>
    <w:p>
      <w:pPr>
        <w:spacing w:after="160" w:before="0"/>
      </w:pPr>
      <w:r>
        <w:rPr>
          <w:b w:val="0"/>
          <w:i w:val="0"/>
          <w:sz w:val="22"/>
        </w:rPr>
        <w:t>The FDA's revised General Wellness guidance (January 6, 2026) keeps low-risk wellness products outside medical-device regulation, provided claims stick to healthy-lifestyle support and well-established relationships. Practical rules: promote “supports a healthy postpartum lifestyle,” never “treats postpartum obesity/depression” or personalized disease-risk interpretation. A standard claims review before launch and before each marketing campaign is sufficient process at this stage.</w:t>
      </w:r>
    </w:p>
    <w:p>
      <w:pPr>
        <w:pStyle w:val="Heading2"/>
      </w:pPr>
      <w:r>
        <w:t>11.2 FTC — the actual near-term exposure</w:t>
      </w:r>
    </w:p>
    <w:p>
      <w:pPr>
        <w:spacing w:after="160" w:before="0"/>
      </w:pPr>
      <w:r>
        <w:rPr>
          <w:b w:val="0"/>
          <w:i w:val="0"/>
          <w:sz w:val="22"/>
        </w:rPr>
        <w:t>Two vectors: influencer disclosure (Section 9.2) and health-benefit substantiation. Any quantified claim (“moms lose X lbs without supply loss”) requires competent evidence before use. Until the proprietary dataset exists, market the mechanism (guardrails, floors, expert review), not outcomes.</w:t>
      </w:r>
    </w:p>
    <w:p>
      <w:pPr>
        <w:pStyle w:val="Heading2"/>
      </w:pPr>
      <w:r>
        <w:t>11.3 Product liability &amp; clinical governance</w:t>
      </w:r>
    </w:p>
    <w:p>
      <w:pPr>
        <w:pStyle w:val="ListBullet"/>
        <w:spacing w:after="100"/>
      </w:pPr>
      <w:r>
        <w:rPr>
          <w:b w:val="0"/>
          <w:i w:val="0"/>
          <w:sz w:val="22"/>
        </w:rPr>
        <w:t>RD/IBCLC-reviewed methodology, documented, with named advisors — both marketing asset and defensibility.</w:t>
      </w:r>
    </w:p>
    <w:p>
      <w:pPr>
        <w:pStyle w:val="ListBullet"/>
        <w:spacing w:after="100"/>
      </w:pPr>
      <w:r>
        <w:rPr>
          <w:b w:val="0"/>
          <w:i w:val="0"/>
          <w:sz w:val="22"/>
        </w:rPr>
        <w:t>Hard-coded floors (never recommend below ~1,500–1,800 kcal for nursing users; hydration floors; red-flag interrupts urging provider contact for supply crashes, mood symptoms, or pain).</w:t>
      </w:r>
    </w:p>
    <w:p>
      <w:pPr>
        <w:pStyle w:val="ListBullet"/>
        <w:spacing w:after="100"/>
      </w:pPr>
      <w:r>
        <w:rPr>
          <w:b w:val="0"/>
          <w:i w:val="0"/>
          <w:sz w:val="22"/>
        </w:rPr>
        <w:t>Standard wellness-app terms, disclaimers, and an eating-disorder screen at onboarding (also the ethically required move in a postpartum weight product).</w:t>
      </w:r>
    </w:p>
    <w:p>
      <w:pPr>
        <w:pStyle w:val="ListBullet"/>
        <w:spacing w:after="100"/>
      </w:pPr>
      <w:r>
        <w:rPr>
          <w:b w:val="0"/>
          <w:i w:val="0"/>
          <w:sz w:val="22"/>
        </w:rPr>
        <w:t>Privacy: health data of mothers is sensitive; avoid the third-party-advertising data sharing LatchFit currently discloses — it is both a trust differentiator and reduced regulatory surface (state privacy laws increasingly cover consumer health data).</w:t>
      </w:r>
    </w:p>
    <w:p>
      <w:r>
        <w:br w:type="page"/>
      </w:r>
    </w:p>
    <w:p>
      <w:pPr>
        <w:pStyle w:val="Heading1"/>
      </w:pPr>
      <w:r>
        <w:t>12. Funding Landscape</w:t>
      </w:r>
    </w:p>
    <w:p>
      <w:pPr>
        <w:spacing w:after="160" w:before="0"/>
      </w:pPr>
      <w:r>
        <w:rPr>
          <w:b w:val="0"/>
          <w:i w:val="0"/>
          <w:sz w:val="22"/>
        </w:rPr>
        <w:t>If outside capital is desired, conditions are workable: femtech raised ~$413M July 2025–June 2026; seed rounds are ~52% of deal count; pregnancy/maternal health is the #2 category historically ($380M across 26 deals 2022–2025). Specialist funds writing $500K–5M seed checks include Fem Health Ventures, Amboy Street Ventures, and Emmeline Ventures, alongside 40+ active generalist and impact investors in the space.</w:t>
      </w:r>
    </w:p>
    <w:p>
      <w:pPr>
        <w:spacing w:after="160" w:before="0"/>
      </w:pPr>
      <w:r>
        <w:rPr>
          <w:b w:val="0"/>
          <w:i w:val="0"/>
          <w:sz w:val="22"/>
        </w:rPr>
        <w:t>The fundable story writes itself from this research: protected niche in the GLP-1 era + validated demand + weak direct competition + founding-creator distribution + clean wellness regulatory path + B2B2C expansion. The pre-seed milestone set is modest: a shipped MVP, 200+ beta users, early retention curves, and 2–3 named clinical advisors.</w:t>
      </w:r>
    </w:p>
    <w:p>
      <w:pPr>
        <w:spacing w:after="160" w:before="0"/>
      </w:pPr>
      <w:r>
        <w:rPr>
          <w:b w:val="0"/>
          <w:i w:val="0"/>
          <w:sz w:val="22"/>
        </w:rPr>
        <w:t>Bootstrap alternative: at $2–4K/month burn (solo dev + contractor design + advisor equity), the base case reaches ramen-profitability inside year one without dilution — a real option given App Store economics at this price point.</w:t>
      </w:r>
    </w:p>
    <w:p>
      <w:pPr>
        <w:pStyle w:val="Heading1"/>
      </w:pPr>
      <w:r>
        <w:t>13. Risks &amp; Mitigations</w:t>
      </w:r>
    </w:p>
    <w:p>
      <w:pPr>
        <w:spacing w:after="160" w:before="0"/>
      </w:pPr>
      <w:r>
        <w:rPr>
          <w:b w:val="0"/>
          <w:i/>
          <w:sz w:val="22"/>
        </w:rPr>
        <w:t>Section 6 covered the barriers that deter entrants; this section covers the risks we inherit by entering anyway. They overlap by design — every moat in Section 6.8 is a risk successfully carried.</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3312"/>
            <w:shd w:val="clear" w:color="auto" w:fill="1F3A5F"/>
          </w:tcPr>
          <w:p>
            <w:pPr>
              <w:spacing w:after="40" w:before="40"/>
            </w:pPr>
            <w:r>
              <w:rPr>
                <w:b/>
                <w:color w:val="FFFFFF"/>
                <w:sz w:val="20"/>
              </w:rPr>
              <w:t>Risk</w:t>
            </w:r>
          </w:p>
        </w:tc>
        <w:tc>
          <w:tcPr>
            <w:tcW w:type="dxa" w:w="1872"/>
            <w:shd w:val="clear" w:color="auto" w:fill="1F3A5F"/>
          </w:tcPr>
          <w:p>
            <w:pPr>
              <w:spacing w:after="40" w:before="40"/>
            </w:pPr>
            <w:r>
              <w:rPr>
                <w:b/>
                <w:color w:val="FFFFFF"/>
                <w:sz w:val="20"/>
              </w:rPr>
              <w:t>Severity</w:t>
            </w:r>
          </w:p>
        </w:tc>
        <w:tc>
          <w:tcPr>
            <w:tcW w:type="dxa" w:w="4176"/>
            <w:shd w:val="clear" w:color="auto" w:fill="1F3A5F"/>
          </w:tcPr>
          <w:p>
            <w:pPr>
              <w:spacing w:after="40" w:before="40"/>
            </w:pPr>
            <w:r>
              <w:rPr>
                <w:b/>
                <w:color w:val="FFFFFF"/>
                <w:sz w:val="20"/>
              </w:rPr>
              <w:t>Mitigation</w:t>
            </w:r>
          </w:p>
        </w:tc>
      </w:tr>
      <w:tr>
        <w:tc>
          <w:tcPr>
            <w:tcW w:type="dxa" w:w="3312"/>
          </w:tcPr>
          <w:p>
            <w:pPr>
              <w:spacing w:after="40" w:before="40"/>
            </w:pPr>
            <w:r>
              <w:rPr>
                <w:sz w:val="20"/>
              </w:rPr>
              <w:t>Structural churn (users wean out)</w:t>
            </w:r>
          </w:p>
        </w:tc>
        <w:tc>
          <w:tcPr>
            <w:tcW w:type="dxa" w:w="1872"/>
          </w:tcPr>
          <w:p>
            <w:pPr>
              <w:spacing w:after="40" w:before="40"/>
            </w:pPr>
            <w:r>
              <w:rPr>
                <w:sz w:val="20"/>
              </w:rPr>
              <w:t>High</w:t>
            </w:r>
          </w:p>
        </w:tc>
        <w:tc>
          <w:tcPr>
            <w:tcW w:type="dxa" w:w="4176"/>
          </w:tcPr>
          <w:p>
            <w:pPr>
              <w:spacing w:after="40" w:before="40"/>
            </w:pPr>
            <w:r>
              <w:rPr>
                <w:sz w:val="20"/>
              </w:rPr>
              <w:t>Annual pricing; pregnancy-side entry; maintenance mode; acquisition-led model (Section 10.2)</w:t>
            </w:r>
          </w:p>
        </w:tc>
      </w:tr>
      <w:tr>
        <w:tc>
          <w:tcPr>
            <w:tcW w:type="dxa" w:w="3312"/>
            <w:shd w:val="clear" w:color="auto" w:fill="EEF2F6"/>
          </w:tcPr>
          <w:p>
            <w:pPr>
              <w:spacing w:after="40" w:before="40"/>
            </w:pPr>
            <w:r>
              <w:rPr>
                <w:sz w:val="20"/>
              </w:rPr>
              <w:t>LatchFit or a funded copycat professionalizes first</w:t>
            </w:r>
          </w:p>
        </w:tc>
        <w:tc>
          <w:tcPr>
            <w:tcW w:type="dxa" w:w="1872"/>
            <w:shd w:val="clear" w:color="auto" w:fill="EEF2F6"/>
          </w:tcPr>
          <w:p>
            <w:pPr>
              <w:spacing w:after="40" w:before="40"/>
            </w:pPr>
            <w:r>
              <w:rPr>
                <w:sz w:val="20"/>
              </w:rPr>
              <w:t>Medium</w:t>
            </w:r>
          </w:p>
        </w:tc>
        <w:tc>
          <w:tcPr>
            <w:tcW w:type="dxa" w:w="4176"/>
            <w:shd w:val="clear" w:color="auto" w:fill="EEF2F6"/>
          </w:tcPr>
          <w:p>
            <w:pPr>
              <w:spacing w:after="40" w:before="40"/>
            </w:pPr>
            <w:r>
              <w:rPr>
                <w:sz w:val="20"/>
              </w:rPr>
              <w:t>Speed to quality bar; lock creator + IBCLC channels early; brand on clinical trust</w:t>
            </w:r>
          </w:p>
        </w:tc>
      </w:tr>
      <w:tr>
        <w:tc>
          <w:tcPr>
            <w:tcW w:type="dxa" w:w="3312"/>
          </w:tcPr>
          <w:p>
            <w:pPr>
              <w:spacing w:after="40" w:before="40"/>
            </w:pPr>
            <w:r>
              <w:rPr>
                <w:sz w:val="20"/>
              </w:rPr>
              <w:t>A major (MFP/Noom) ships a nursing mode</w:t>
            </w:r>
          </w:p>
        </w:tc>
        <w:tc>
          <w:tcPr>
            <w:tcW w:type="dxa" w:w="1872"/>
          </w:tcPr>
          <w:p>
            <w:pPr>
              <w:spacing w:after="40" w:before="40"/>
            </w:pPr>
            <w:r>
              <w:rPr>
                <w:sz w:val="20"/>
              </w:rPr>
              <w:t>Medium-low</w:t>
            </w:r>
          </w:p>
        </w:tc>
        <w:tc>
          <w:tcPr>
            <w:tcW w:type="dxa" w:w="4176"/>
          </w:tcPr>
          <w:p>
            <w:pPr>
              <w:spacing w:after="40" w:before="40"/>
            </w:pPr>
            <w:r>
              <w:rPr>
                <w:sz w:val="20"/>
              </w:rPr>
              <w:t>They've ignored it 10+ years and are GLP-1-focused; niche brand + supply-watch loop beats a settings toggle</w:t>
            </w:r>
          </w:p>
        </w:tc>
      </w:tr>
      <w:tr>
        <w:tc>
          <w:tcPr>
            <w:tcW w:type="dxa" w:w="3312"/>
            <w:shd w:val="clear" w:color="auto" w:fill="EEF2F6"/>
          </w:tcPr>
          <w:p>
            <w:pPr>
              <w:spacing w:after="40" w:before="40"/>
            </w:pPr>
            <w:r>
              <w:rPr>
                <w:sz w:val="20"/>
              </w:rPr>
              <w:t>Influencer channel underperforms</w:t>
            </w:r>
          </w:p>
        </w:tc>
        <w:tc>
          <w:tcPr>
            <w:tcW w:type="dxa" w:w="1872"/>
            <w:shd w:val="clear" w:color="auto" w:fill="EEF2F6"/>
          </w:tcPr>
          <w:p>
            <w:pPr>
              <w:spacing w:after="40" w:before="40"/>
            </w:pPr>
            <w:r>
              <w:rPr>
                <w:sz w:val="20"/>
              </w:rPr>
              <w:t>Medium</w:t>
            </w:r>
          </w:p>
        </w:tc>
        <w:tc>
          <w:tcPr>
            <w:tcW w:type="dxa" w:w="4176"/>
            <w:shd w:val="clear" w:color="auto" w:fill="EEF2F6"/>
          </w:tcPr>
          <w:p>
            <w:pPr>
              <w:spacing w:after="40" w:before="40"/>
            </w:pPr>
            <w:r>
              <w:rPr>
                <w:sz w:val="20"/>
              </w:rPr>
              <w:t>Diversify to SEO + IBCLC referrals from day one; 10–15 creator portfolio, not one voice</w:t>
            </w:r>
          </w:p>
        </w:tc>
      </w:tr>
      <w:tr>
        <w:tc>
          <w:tcPr>
            <w:tcW w:type="dxa" w:w="3312"/>
          </w:tcPr>
          <w:p>
            <w:pPr>
              <w:spacing w:after="40" w:before="40"/>
            </w:pPr>
            <w:r>
              <w:rPr>
                <w:sz w:val="20"/>
              </w:rPr>
              <w:t>Safety incident (supply loss attributed to app)</w:t>
            </w:r>
          </w:p>
        </w:tc>
        <w:tc>
          <w:tcPr>
            <w:tcW w:type="dxa" w:w="1872"/>
          </w:tcPr>
          <w:p>
            <w:pPr>
              <w:spacing w:after="40" w:before="40"/>
            </w:pPr>
            <w:r>
              <w:rPr>
                <w:sz w:val="20"/>
              </w:rPr>
              <w:t>High impact, low prob.</w:t>
            </w:r>
          </w:p>
        </w:tc>
        <w:tc>
          <w:tcPr>
            <w:tcW w:type="dxa" w:w="4176"/>
          </w:tcPr>
          <w:p>
            <w:pPr>
              <w:spacing w:after="40" w:before="40"/>
            </w:pPr>
            <w:r>
              <w:rPr>
                <w:sz w:val="20"/>
              </w:rPr>
              <w:t>Conservative floors, red-flag interrupts, disclaimers, advisor review, insurance</w:t>
            </w:r>
          </w:p>
        </w:tc>
      </w:tr>
      <w:tr>
        <w:tc>
          <w:tcPr>
            <w:tcW w:type="dxa" w:w="3312"/>
            <w:shd w:val="clear" w:color="auto" w:fill="EEF2F6"/>
          </w:tcPr>
          <w:p>
            <w:pPr>
              <w:spacing w:after="40" w:before="40"/>
            </w:pPr>
            <w:r>
              <w:rPr>
                <w:sz w:val="20"/>
              </w:rPr>
              <w:t>FTC action on disclosure</w:t>
            </w:r>
          </w:p>
        </w:tc>
        <w:tc>
          <w:tcPr>
            <w:tcW w:type="dxa" w:w="1872"/>
            <w:shd w:val="clear" w:color="auto" w:fill="EEF2F6"/>
          </w:tcPr>
          <w:p>
            <w:pPr>
              <w:spacing w:after="40" w:before="40"/>
            </w:pPr>
            <w:r>
              <w:rPr>
                <w:sz w:val="20"/>
              </w:rPr>
              <w:t>Low</w:t>
            </w:r>
          </w:p>
        </w:tc>
        <w:tc>
          <w:tcPr>
            <w:tcW w:type="dxa" w:w="4176"/>
            <w:shd w:val="clear" w:color="auto" w:fill="EEF2F6"/>
          </w:tcPr>
          <w:p>
            <w:pPr>
              <w:spacing w:after="40" w:before="40"/>
            </w:pPr>
            <w:r>
              <w:rPr>
                <w:sz w:val="20"/>
              </w:rPr>
              <w:t>Written disclosure policy; #ad on all family/paid content; claims review</w:t>
            </w:r>
          </w:p>
        </w:tc>
      </w:tr>
      <w:tr>
        <w:tc>
          <w:tcPr>
            <w:tcW w:type="dxa" w:w="3312"/>
          </w:tcPr>
          <w:p>
            <w:pPr>
              <w:spacing w:after="40" w:before="40"/>
            </w:pPr>
            <w:r>
              <w:rPr>
                <w:sz w:val="20"/>
              </w:rPr>
              <w:t>Postpartum audience turns on weight-loss framing</w:t>
            </w:r>
          </w:p>
        </w:tc>
        <w:tc>
          <w:tcPr>
            <w:tcW w:type="dxa" w:w="1872"/>
          </w:tcPr>
          <w:p>
            <w:pPr>
              <w:spacing w:after="40" w:before="40"/>
            </w:pPr>
            <w:r>
              <w:rPr>
                <w:sz w:val="20"/>
              </w:rPr>
              <w:t>Medium</w:t>
            </w:r>
          </w:p>
        </w:tc>
        <w:tc>
          <w:tcPr>
            <w:tcW w:type="dxa" w:w="4176"/>
          </w:tcPr>
          <w:p>
            <w:pPr>
              <w:spacing w:after="40" w:before="40"/>
            </w:pPr>
            <w:r>
              <w:rPr>
                <w:sz w:val="20"/>
              </w:rPr>
              <w:t>Strength/energy positioning; body-neutral option in onboarding; no before/after ads</w:t>
            </w:r>
          </w:p>
        </w:tc>
      </w:tr>
    </w:tbl>
    <w:p>
      <w:pPr>
        <w:spacing w:after="120" w:before="0"/>
      </w:pPr>
    </w:p>
    <w:p>
      <w:pPr>
        <w:pStyle w:val="Heading1"/>
      </w:pPr>
      <w:r>
        <w:t>14. Recommended Next Steps</w:t>
      </w:r>
    </w:p>
    <w:p>
      <w:pPr>
        <w:spacing w:after="100"/>
        <w:ind w:left="432"/>
      </w:pPr>
      <w:r>
        <w:rPr>
          <w:b/>
          <w:color w:val="2E7D6E"/>
          <w:sz w:val="22"/>
        </w:rPr>
        <w:t xml:space="preserve">1. </w:t>
      </w:r>
      <w:r>
        <w:rPr>
          <w:sz w:val="22"/>
        </w:rPr>
        <w:t>Validate willingness to pay: 20 interviews from target communities in the next 3 weeks; kill criterion — if fewer than a third would pay ~$10/mo for the described product, revisit positioning before building.</w:t>
      </w:r>
    </w:p>
    <w:p>
      <w:pPr>
        <w:spacing w:after="100"/>
        <w:ind w:left="432"/>
      </w:pPr>
      <w:r>
        <w:rPr>
          <w:b/>
          <w:color w:val="2E7D6E"/>
          <w:sz w:val="22"/>
        </w:rPr>
        <w:t xml:space="preserve">2. </w:t>
      </w:r>
      <w:r>
        <w:rPr>
          <w:sz w:val="22"/>
        </w:rPr>
        <w:t>Recruit the clinical spine: one RD and one IBCLC advisor on small equity grants; their review of the calorie-floor methodology is the launch prerequisite.</w:t>
      </w:r>
    </w:p>
    <w:p>
      <w:pPr>
        <w:spacing w:after="100"/>
        <w:ind w:left="432"/>
      </w:pPr>
      <w:r>
        <w:rPr>
          <w:b/>
          <w:color w:val="2E7D6E"/>
          <w:sz w:val="22"/>
        </w:rPr>
        <w:t xml:space="preserve">3. </w:t>
      </w:r>
      <w:r>
        <w:rPr>
          <w:sz w:val="22"/>
        </w:rPr>
        <w:t>Confirm the creator plan: sister's HR/outside-activities check plus a simple disclosed-partnership agreement; draft 10 launch content concepts with her.</w:t>
      </w:r>
    </w:p>
    <w:p>
      <w:pPr>
        <w:spacing w:after="100"/>
        <w:ind w:left="432"/>
      </w:pPr>
      <w:r>
        <w:rPr>
          <w:b/>
          <w:color w:val="2E7D6E"/>
          <w:sz w:val="22"/>
        </w:rPr>
        <w:t xml:space="preserve">4. </w:t>
      </w:r>
      <w:r>
        <w:rPr>
          <w:sz w:val="22"/>
        </w:rPr>
        <w:t>Scope the MVP: nutrition engine, logging, supply check-in, trends — nothing else in v1; 8–10 week build target, iOS first, Android fast-follow (LatchFit's absence there is free market share).</w:t>
      </w:r>
    </w:p>
    <w:p>
      <w:pPr>
        <w:spacing w:after="100"/>
        <w:ind w:left="432"/>
      </w:pPr>
      <w:r>
        <w:rPr>
          <w:b/>
          <w:color w:val="2E7D6E"/>
          <w:sz w:val="22"/>
        </w:rPr>
        <w:t xml:space="preserve">5. </w:t>
      </w:r>
      <w:r>
        <w:rPr>
          <w:sz w:val="22"/>
        </w:rPr>
        <w:t>Name/brand development: avoid diet-culture naming; test 3 directions against the persona in the discovery interviews.</w:t>
      </w:r>
    </w:p>
    <w:p>
      <w:pPr>
        <w:spacing w:after="100"/>
        <w:ind w:left="432"/>
      </w:pPr>
      <w:r>
        <w:rPr>
          <w:b/>
          <w:color w:val="2E7D6E"/>
          <w:sz w:val="22"/>
        </w:rPr>
        <w:t xml:space="preserve">6. </w:t>
      </w:r>
      <w:r>
        <w:rPr>
          <w:sz w:val="22"/>
        </w:rPr>
        <w:t>Decide bootstrap vs. pre-seed by end of discovery: both paths are viable per Section 12; the choice mainly sets the Phase-2 timeline.</w:t>
      </w:r>
    </w:p>
    <w:p>
      <w:r>
        <w:br w:type="page"/>
      </w:r>
    </w:p>
    <w:p>
      <w:pPr>
        <w:pStyle w:val="Heading1"/>
      </w:pPr>
      <w:r>
        <w:t>15. Sources</w:t>
      </w:r>
    </w:p>
    <w:p>
      <w:pPr>
        <w:spacing w:after="80"/>
      </w:pPr>
      <w:r>
        <w:rPr>
          <w:b w:val="0"/>
          <w:i w:val="0"/>
          <w:sz w:val="22"/>
        </w:rPr>
        <w:t>CDC/NCHS — Births: Provisional Data for 2024 and 2025</w:t>
      </w:r>
      <w:r>
        <w:rPr>
          <w:b w:val="0"/>
          <w:i w:val="0"/>
          <w:color w:val="595959"/>
          <w:sz w:val="18"/>
        </w:rPr>
        <w:t xml:space="preserve">  —  cdc.gov/nchs (VSRR reports 038, 043)</w:t>
      </w:r>
    </w:p>
    <w:p>
      <w:pPr>
        <w:spacing w:after="80"/>
      </w:pPr>
      <w:r>
        <w:rPr>
          <w:b w:val="0"/>
          <w:i w:val="0"/>
          <w:sz w:val="22"/>
        </w:rPr>
        <w:t>CDC — NIS-Child breastfeeding survey results (2022 birth cohort)</w:t>
      </w:r>
      <w:r>
        <w:rPr>
          <w:b w:val="0"/>
          <w:i w:val="0"/>
          <w:color w:val="595959"/>
          <w:sz w:val="18"/>
        </w:rPr>
        <w:t xml:space="preserve">  —  cdc.gov/breastfeeding-data/survey/results.html</w:t>
      </w:r>
    </w:p>
    <w:p>
      <w:pPr>
        <w:spacing w:after="80"/>
      </w:pPr>
      <w:r>
        <w:rPr>
          <w:b w:val="0"/>
          <w:i w:val="0"/>
          <w:sz w:val="22"/>
        </w:rPr>
        <w:t>AJOG — Postpartum weight retention: risk factors and relationship to obesity at one year</w:t>
      </w:r>
      <w:r>
        <w:rPr>
          <w:b w:val="0"/>
          <w:i w:val="0"/>
          <w:color w:val="595959"/>
          <w:sz w:val="18"/>
        </w:rPr>
        <w:t xml:space="preserve">  —  ajog.org / PubMed 25560116</w:t>
      </w:r>
    </w:p>
    <w:p>
      <w:pPr>
        <w:spacing w:after="80"/>
      </w:pPr>
      <w:r>
        <w:rPr>
          <w:b w:val="0"/>
          <w:i w:val="0"/>
          <w:sz w:val="22"/>
        </w:rPr>
        <w:t>KUNO-Kids German birth cohort — substantial weight retention at 1 year</w:t>
      </w:r>
      <w:r>
        <w:rPr>
          <w:b w:val="0"/>
          <w:i w:val="0"/>
          <w:color w:val="595959"/>
          <w:sz w:val="18"/>
        </w:rPr>
        <w:t xml:space="preserve">  —  PubMed 39592472</w:t>
      </w:r>
    </w:p>
    <w:p>
      <w:pPr>
        <w:spacing w:after="80"/>
      </w:pPr>
      <w:r>
        <w:rPr>
          <w:b w:val="0"/>
          <w:i w:val="0"/>
          <w:sz w:val="22"/>
        </w:rPr>
        <w:t>LIFE-Moms lifestyle intervention trials — one-year postpartum outcomes</w:t>
      </w:r>
      <w:r>
        <w:rPr>
          <w:b w:val="0"/>
          <w:i w:val="0"/>
          <w:color w:val="595959"/>
          <w:sz w:val="18"/>
        </w:rPr>
        <w:t xml:space="preserve">  —  PMC6923171</w:t>
      </w:r>
    </w:p>
    <w:p>
      <w:pPr>
        <w:spacing w:after="80"/>
      </w:pPr>
      <w:r>
        <w:rPr>
          <w:b w:val="0"/>
          <w:i w:val="0"/>
          <w:sz w:val="22"/>
        </w:rPr>
        <w:t>Grand View Research — Pregnancy Tracking &amp; Postpartum Care Apps Market</w:t>
      </w:r>
      <w:r>
        <w:rPr>
          <w:b w:val="0"/>
          <w:i w:val="0"/>
          <w:color w:val="595959"/>
          <w:sz w:val="18"/>
        </w:rPr>
        <w:t xml:space="preserve">  —  grandviewresearch.com</w:t>
      </w:r>
    </w:p>
    <w:p>
      <w:pPr>
        <w:spacing w:after="80"/>
      </w:pPr>
      <w:r>
        <w:rPr>
          <w:b w:val="0"/>
          <w:i w:val="0"/>
          <w:sz w:val="22"/>
        </w:rPr>
        <w:t>GM Insights / Expert Market Research — Femtech market size</w:t>
      </w:r>
      <w:r>
        <w:rPr>
          <w:b w:val="0"/>
          <w:i w:val="0"/>
          <w:color w:val="595959"/>
          <w:sz w:val="18"/>
        </w:rPr>
        <w:t xml:space="preserve">  —  gminsights.com; expertmarketresearch.com</w:t>
      </w:r>
    </w:p>
    <w:p>
      <w:pPr>
        <w:spacing w:after="80"/>
      </w:pPr>
      <w:r>
        <w:rPr>
          <w:b w:val="0"/>
          <w:i w:val="0"/>
          <w:sz w:val="22"/>
        </w:rPr>
        <w:t>Dealroom — Femtech deep dive (funding by category)</w:t>
      </w:r>
      <w:r>
        <w:rPr>
          <w:b w:val="0"/>
          <w:i w:val="0"/>
          <w:color w:val="595959"/>
          <w:sz w:val="18"/>
        </w:rPr>
        <w:t xml:space="preserve">  —  dealroom.co/guides/femtech</w:t>
      </w:r>
    </w:p>
    <w:p>
      <w:pPr>
        <w:spacing w:after="80"/>
      </w:pPr>
      <w:r>
        <w:rPr>
          <w:b w:val="0"/>
          <w:i w:val="0"/>
          <w:sz w:val="22"/>
        </w:rPr>
        <w:t>New Market Pitch — Femtech funding trends 2022–2026</w:t>
      </w:r>
      <w:r>
        <w:rPr>
          <w:b w:val="0"/>
          <w:i w:val="0"/>
          <w:color w:val="595959"/>
          <w:sz w:val="18"/>
        </w:rPr>
        <w:t xml:space="preserve">  —  newmarketpitch.com</w:t>
      </w:r>
    </w:p>
    <w:p>
      <w:pPr>
        <w:spacing w:after="80"/>
      </w:pPr>
      <w:r>
        <w:rPr>
          <w:b w:val="0"/>
          <w:i w:val="0"/>
          <w:sz w:val="22"/>
        </w:rPr>
        <w:t>Research &amp; Markets / GlobeNewswire — U.S. Weight Loss Market 2025–2026 (GLP-1 disruption, $135B)</w:t>
      </w:r>
      <w:r>
        <w:rPr>
          <w:b w:val="0"/>
          <w:i w:val="0"/>
          <w:color w:val="595959"/>
          <w:sz w:val="18"/>
        </w:rPr>
        <w:t xml:space="preserve">  —  globenewswire.com (Mar 2026)</w:t>
      </w:r>
    </w:p>
    <w:p>
      <w:pPr>
        <w:spacing w:after="80"/>
      </w:pPr>
      <w:r>
        <w:rPr>
          <w:b w:val="0"/>
          <w:i w:val="0"/>
          <w:sz w:val="22"/>
        </w:rPr>
        <w:t>J.P. Morgan Research — Obesity drugs supply &amp; demand 2026</w:t>
      </w:r>
      <w:r>
        <w:rPr>
          <w:b w:val="0"/>
          <w:i w:val="0"/>
          <w:color w:val="595959"/>
          <w:sz w:val="18"/>
        </w:rPr>
        <w:t xml:space="preserve">  —  jpmorgan.com/insights</w:t>
      </w:r>
    </w:p>
    <w:p>
      <w:pPr>
        <w:spacing w:after="80"/>
      </w:pPr>
      <w:r>
        <w:rPr>
          <w:b w:val="0"/>
          <w:i w:val="0"/>
          <w:sz w:val="22"/>
        </w:rPr>
        <w:t>IQVIA — Outlook for Obesity 2026; Forbes Health GLP-1 statistics</w:t>
      </w:r>
      <w:r>
        <w:rPr>
          <w:b w:val="0"/>
          <w:i w:val="0"/>
          <w:color w:val="595959"/>
          <w:sz w:val="18"/>
        </w:rPr>
        <w:t xml:space="preserve">  —  iqvia.com; forbes.com/health</w:t>
      </w:r>
    </w:p>
    <w:p>
      <w:pPr>
        <w:spacing w:after="80"/>
      </w:pPr>
      <w:r>
        <w:rPr>
          <w:b w:val="0"/>
          <w:i w:val="0"/>
          <w:sz w:val="22"/>
        </w:rPr>
        <w:t>Maven Clinic; The Bump; InfantRisk Center — GLP-1s and breastfeeding safety guidance</w:t>
      </w:r>
      <w:r>
        <w:rPr>
          <w:b w:val="0"/>
          <w:i w:val="0"/>
          <w:color w:val="595959"/>
          <w:sz w:val="18"/>
        </w:rPr>
        <w:t xml:space="preserve">  —  mavenclinic.com; thebump.com; infantrisk.com</w:t>
      </w:r>
    </w:p>
    <w:p>
      <w:pPr>
        <w:spacing w:after="80"/>
      </w:pPr>
      <w:r>
        <w:rPr>
          <w:b w:val="0"/>
          <w:i w:val="0"/>
          <w:sz w:val="22"/>
        </w:rPr>
        <w:t>LatchFit App Store listing, ratings, and version history (retrieved Aug 17, 2026)</w:t>
      </w:r>
      <w:r>
        <w:rPr>
          <w:b w:val="0"/>
          <w:i w:val="0"/>
          <w:color w:val="595959"/>
          <w:sz w:val="18"/>
        </w:rPr>
        <w:t xml:space="preserve">  —  apps.apple.com id6753321458</w:t>
      </w:r>
    </w:p>
    <w:p>
      <w:pPr>
        <w:spacing w:after="80"/>
      </w:pPr>
      <w:r>
        <w:rPr>
          <w:b w:val="0"/>
          <w:i w:val="0"/>
          <w:sz w:val="22"/>
        </w:rPr>
        <w:t>MyFitnessPal community &amp; The Bump forums — absence of nursing mode</w:t>
      </w:r>
      <w:r>
        <w:rPr>
          <w:b w:val="0"/>
          <w:i w:val="0"/>
          <w:color w:val="595959"/>
          <w:sz w:val="18"/>
        </w:rPr>
        <w:t xml:space="preserve">  —  community.myfitnesspal.com; forums.thebump.com</w:t>
      </w:r>
    </w:p>
    <w:p>
      <w:pPr>
        <w:spacing w:after="80"/>
      </w:pPr>
      <w:r>
        <w:rPr>
          <w:b w:val="0"/>
          <w:i w:val="0"/>
          <w:sz w:val="22"/>
        </w:rPr>
        <w:t>MUTU System pricing; Sweat subscription pages; Sculpt Society &amp; KT Method pricing via Fitness Drum roundup</w:t>
      </w:r>
      <w:r>
        <w:rPr>
          <w:b w:val="0"/>
          <w:i w:val="0"/>
          <w:color w:val="595959"/>
          <w:sz w:val="18"/>
        </w:rPr>
        <w:t xml:space="preserve">  —  mutusystem.com; sweat.com; fitnessdrum.com</w:t>
      </w:r>
    </w:p>
    <w:p>
      <w:pPr>
        <w:spacing w:after="80"/>
      </w:pPr>
      <w:r>
        <w:rPr>
          <w:b w:val="0"/>
          <w:i w:val="0"/>
          <w:sz w:val="22"/>
        </w:rPr>
        <w:t>Motherly — Best postpartum fitness apps; Every Mother App Store/Trustpilot listings</w:t>
      </w:r>
      <w:r>
        <w:rPr>
          <w:b w:val="0"/>
          <w:i w:val="0"/>
          <w:color w:val="595959"/>
          <w:sz w:val="18"/>
        </w:rPr>
        <w:t xml:space="preserve">  —  mother.ly; every-mother.com</w:t>
      </w:r>
    </w:p>
    <w:p>
      <w:pPr>
        <w:spacing w:after="80"/>
      </w:pPr>
      <w:r>
        <w:rPr>
          <w:b w:val="0"/>
          <w:i w:val="0"/>
          <w:sz w:val="22"/>
        </w:rPr>
        <w:t>PMC — Assessment of pregnancy/postpartum physical activity apps (MARS quality scores)</w:t>
      </w:r>
      <w:r>
        <w:rPr>
          <w:b w:val="0"/>
          <w:i w:val="0"/>
          <w:color w:val="595959"/>
          <w:sz w:val="18"/>
        </w:rPr>
        <w:t xml:space="preserve">  —  PMC8136604</w:t>
      </w:r>
    </w:p>
    <w:p>
      <w:pPr>
        <w:spacing w:after="80"/>
      </w:pPr>
      <w:r>
        <w:rPr>
          <w:b w:val="0"/>
          <w:i w:val="0"/>
          <w:sz w:val="22"/>
        </w:rPr>
        <w:t>Baby2Body / Body Collective — company site and Dealroom profile</w:t>
      </w:r>
      <w:r>
        <w:rPr>
          <w:b w:val="0"/>
          <w:i w:val="0"/>
          <w:color w:val="595959"/>
          <w:sz w:val="18"/>
        </w:rPr>
        <w:t xml:space="preserve">  —  baby2body.com; dealroom.co</w:t>
      </w:r>
    </w:p>
    <w:p>
      <w:pPr>
        <w:spacing w:after="80"/>
      </w:pPr>
      <w:r>
        <w:rPr>
          <w:b w:val="0"/>
          <w:i w:val="0"/>
          <w:sz w:val="22"/>
        </w:rPr>
        <w:t>Business of Apps; Adapty; RevenueCat; Lifecycle Architect — health &amp; fitness retention/churn benchmarks</w:t>
      </w:r>
      <w:r>
        <w:rPr>
          <w:b w:val="0"/>
          <w:i w:val="0"/>
          <w:color w:val="595959"/>
          <w:sz w:val="18"/>
        </w:rPr>
        <w:t xml:space="preserve">  —  businessofapps.com; adapty.io; revenuecat.com</w:t>
      </w:r>
    </w:p>
    <w:p>
      <w:pPr>
        <w:spacing w:after="80"/>
      </w:pPr>
      <w:r>
        <w:rPr>
          <w:b w:val="0"/>
          <w:i w:val="0"/>
          <w:sz w:val="22"/>
        </w:rPr>
        <w:t>FTC — Disclosures 101 for Social Media Influencers; Endorsement Guides analyses (2025 penalty levels)</w:t>
      </w:r>
      <w:r>
        <w:rPr>
          <w:b w:val="0"/>
          <w:i w:val="0"/>
          <w:color w:val="595959"/>
          <w:sz w:val="18"/>
        </w:rPr>
        <w:t xml:space="preserve">  —  ftc.gov</w:t>
      </w:r>
    </w:p>
    <w:p>
      <w:pPr>
        <w:spacing w:after="80"/>
      </w:pPr>
      <w:r>
        <w:rPr>
          <w:b w:val="0"/>
          <w:i w:val="0"/>
          <w:sz w:val="22"/>
        </w:rPr>
        <w:t>FDA — General Wellness: Policy for Low Risk Devices, revised Jan 6, 2026 (Covington, Troutman analyses)</w:t>
      </w:r>
      <w:r>
        <w:rPr>
          <w:b w:val="0"/>
          <w:i w:val="0"/>
          <w:color w:val="595959"/>
          <w:sz w:val="18"/>
        </w:rPr>
        <w:t xml:space="preserve">  —  fda.gov; cov.com; troutman.com</w:t>
      </w:r>
    </w:p>
    <w:p>
      <w:pPr>
        <w:spacing w:after="80"/>
      </w:pPr>
      <w:r>
        <w:rPr>
          <w:b w:val="0"/>
          <w:i w:val="0"/>
          <w:sz w:val="22"/>
        </w:rPr>
        <w:t>Femtech investor lists — Ellty, OpenVC (Fem Health Ventures, Amboy Street, Emmeline)</w:t>
      </w:r>
      <w:r>
        <w:rPr>
          <w:b w:val="0"/>
          <w:i w:val="0"/>
          <w:color w:val="595959"/>
          <w:sz w:val="18"/>
        </w:rPr>
        <w:t xml:space="preserve">  —  ellty.com; openvc.app</w:t>
      </w:r>
    </w:p>
    <w:p>
      <w:pPr>
        <w:spacing w:after="80"/>
      </w:pPr>
      <w:r>
        <w:rPr>
          <w:b w:val="0"/>
          <w:i w:val="0"/>
          <w:sz w:val="22"/>
        </w:rPr>
        <w:t>Influencer Marketing Hub — weight-loss campaign case studies; Feedspot Mom TikTok rankings</w:t>
      </w:r>
      <w:r>
        <w:rPr>
          <w:b w:val="0"/>
          <w:i w:val="0"/>
          <w:color w:val="595959"/>
          <w:sz w:val="18"/>
        </w:rPr>
        <w:t xml:space="preserve">  —  influencermarketinghub.com; creators.feedspot.com</w:t>
      </w:r>
    </w:p>
    <w:p>
      <w:pPr>
        <w:spacing w:after="160" w:before="0"/>
      </w:pPr>
    </w:p>
    <w:p>
      <w:pPr>
        <w:spacing w:after="160" w:before="0"/>
      </w:pPr>
      <w:r>
        <w:rPr>
          <w:b w:val="0"/>
          <w:i/>
          <w:color w:val="595959"/>
          <w:sz w:val="18"/>
        </w:rPr>
        <w:t>Figures marked “provisional” follow CDC labeling. Market-size estimates vary across research houses; ranges are shown where sources disagree. This document is market research, not legal, medical, or investment advice; engage counsel for FTC/FDA review and a licensed clinician review of methodology before launch.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95959"/>
        <w:sz w:val="16"/>
      </w:rPr>
      <w:t>Postpartum Weight &amp; Wellness App — 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