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اتفاقية المؤسسين والشركاء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الغرض</w:t>
      </w:r>
    </w:p>
    <w:p>
      <w:r>
        <w:t>تنظيم العلاقة الداخلية بين المؤسسين قبل أو بالتوازي مع تسجيل الكيان، بما لا يتعارض مع العقد النهائي أو القانون.</w:t>
      </w:r>
    </w:p>
    <w:p>
      <w:pPr>
        <w:pStyle w:val="Heading1"/>
      </w:pPr>
      <w:r>
        <w:t>نقاط الاتفاق</w:t>
      </w:r>
    </w:p>
    <w:p>
      <w:pPr>
        <w:pStyle w:val="ListBullet"/>
      </w:pPr>
      <w:r>
        <w:t>المساهمات النقدية والعينية ومواعيدها.</w:t>
      </w:r>
    </w:p>
    <w:p>
      <w:pPr>
        <w:pStyle w:val="ListBullet"/>
      </w:pPr>
      <w:r>
        <w:t>نسب الملكية وحقوق التصويت.</w:t>
      </w:r>
    </w:p>
    <w:p>
      <w:pPr>
        <w:pStyle w:val="ListBullet"/>
      </w:pPr>
      <w:r>
        <w:t>توزيع الأدوار والالتزامات.</w:t>
      </w:r>
    </w:p>
    <w:p>
      <w:pPr>
        <w:pStyle w:val="ListBullet"/>
      </w:pPr>
      <w:r>
        <w:t>السرية والملكية الفكرية.</w:t>
      </w:r>
    </w:p>
    <w:p>
      <w:pPr>
        <w:pStyle w:val="ListBullet"/>
      </w:pPr>
      <w:r>
        <w:t>آلية دخول شريك أو خروج شريك.</w:t>
      </w:r>
    </w:p>
    <w:p>
      <w:pPr>
        <w:pStyle w:val="ListBullet"/>
      </w:pPr>
      <w:r>
        <w:t>آلية حل النزاعات والاختصاص المكاني بعد المراجعة القانونية.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أسماء الأطراف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المساهمات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نسب الملكية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الأدوار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التاريخ الفعال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التوقيعات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