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CDEF"/>
          <w:sz w:val="44"/>
        </w:rPr>
        <w:t>البشرى Technology</w:t>
      </w:r>
    </w:p>
    <w:p>
      <w:pPr>
        <w:jc w:val="center"/>
      </w:pPr>
      <w:r>
        <w:rPr>
          <w:b/>
          <w:color w:val="0B1B3A"/>
          <w:sz w:val="32"/>
        </w:rPr>
        <w:t>سياسة الخصوصية — نموذج</w:t>
      </w:r>
    </w:p>
    <w:p>
      <w:pPr>
        <w:jc w:val="center"/>
      </w:pPr>
      <w:r>
        <w:rPr>
          <w:i/>
        </w:rPr>
        <w:t>البشرى Technology | حزمة تأسيس وتشغيل أولية — السودان</w:t>
      </w:r>
    </w:p>
    <w:p/>
    <w:p>
      <w:pPr>
        <w:pStyle w:val="Heading1"/>
      </w:pPr>
      <w:r>
        <w:t>بيانات الشركة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5"/>
          </w:tcPr>
          <w:p>
            <w:r>
              <w:t>اسم الكيان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البريد المختص بالخصوصية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العنوان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تاريخ النفاذ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p>
      <w:pPr>
        <w:pStyle w:val="Heading1"/>
      </w:pPr>
      <w:r>
        <w:t>البيانات التي قد تجمع</w:t>
      </w:r>
    </w:p>
    <w:p>
      <w:pPr>
        <w:pStyle w:val="ListBullet"/>
      </w:pPr>
      <w:r>
        <w:t>بيانات الحساب والتواصل.</w:t>
      </w:r>
    </w:p>
    <w:p>
      <w:pPr>
        <w:pStyle w:val="ListBullet"/>
      </w:pPr>
      <w:r>
        <w:t>بيانات استخدام التطبيق والسجلات التقنية.</w:t>
      </w:r>
    </w:p>
    <w:p>
      <w:pPr>
        <w:pStyle w:val="ListBullet"/>
      </w:pPr>
      <w:r>
        <w:t>بيانات الدفع التي قد تعالجها بوابة الدفع.</w:t>
      </w:r>
    </w:p>
    <w:p>
      <w:pPr>
        <w:pStyle w:val="ListBullet"/>
      </w:pPr>
      <w:r>
        <w:t>المحتوى الذي يرفعه المستخدم.</w:t>
      </w:r>
    </w:p>
    <w:p>
      <w:pPr>
        <w:pStyle w:val="Heading1"/>
      </w:pPr>
      <w:r>
        <w:t>الأغراض والأساس والاحتفاظ</w:t>
      </w:r>
    </w:p>
    <w:p>
      <w:r>
        <w:t>توضح الشركة في النسخة النهائية أغراض المعالجة، مزودي الخدمة، التحويلات، مدد الاحتفاظ، وحقوق أصحاب البيانات وفق القانون المطبق ونطاق الخدمة.</w:t>
      </w:r>
    </w:p>
    <w:p>
      <w:pPr>
        <w:pStyle w:val="Heading1"/>
      </w:pPr>
      <w:r>
        <w:t>الأمن وحقوق المستخدم</w:t>
      </w:r>
    </w:p>
    <w:p>
      <w:r>
        <w:t>تطبق الشركة وسائل حماية مناسبة وتوفر قناة لطلبات الوصول أو التصحيح أو الحذف أو الاعتراض بالقدر الذي يوجبه القانون.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5"/>
          </w:tcPr>
          <w:p>
            <w:r>
              <w:t>قناة طلبات الخصوصية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البريد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مدة الرد المستهدفة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جهة الاعتماد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p/>
    <w:p>
      <w:r>
        <w:rPr>
          <w:b/>
        </w:rPr>
        <w:t>تنبيه: هذا نموذج أولي عام وليس بديلاً عن مراجعة محامٍ أو مستشار قانوني مرخّص في السودان قبل التوقيع أو التسجيل أو النشر.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B1B3A"/>
        <w:sz w:val="16"/>
      </w:rPr>
      <w:t>البشرى Technology | السودان — للاستخدام الرسمي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official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