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سياسة أمن المعلومات والنسخ الاحتياطي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الحد الأدنى من الضوابط</w:t>
      </w:r>
    </w:p>
    <w:p>
      <w:pPr>
        <w:pStyle w:val="ListBullet"/>
      </w:pPr>
      <w:r>
        <w:t>حسابات فردية ومصادقة قوية.</w:t>
      </w:r>
    </w:p>
    <w:p>
      <w:pPr>
        <w:pStyle w:val="ListBullet"/>
      </w:pPr>
      <w:r>
        <w:t>تقييد الصلاحيات حسب الحاجة.</w:t>
      </w:r>
    </w:p>
    <w:p>
      <w:pPr>
        <w:pStyle w:val="ListBullet"/>
      </w:pPr>
      <w:r>
        <w:t>تحديث الأنظمة والمكتبات.</w:t>
      </w:r>
    </w:p>
    <w:p>
      <w:pPr>
        <w:pStyle w:val="ListBullet"/>
      </w:pPr>
      <w:r>
        <w:t>تشفير النسخ الاحتياطية والاتصالات عند الإمكان.</w:t>
      </w:r>
    </w:p>
    <w:p>
      <w:pPr>
        <w:pStyle w:val="ListBullet"/>
      </w:pPr>
      <w:r>
        <w:t>مراجعة الوصول عند تغيير الدور أو مغادرة الموظف.</w:t>
      </w:r>
    </w:p>
    <w:p>
      <w:pPr>
        <w:pStyle w:val="ListBullet"/>
      </w:pPr>
      <w:r>
        <w:t>اختبار الاستعادة دورياً.</w:t>
      </w:r>
    </w:p>
    <w:p>
      <w:pPr>
        <w:pStyle w:val="Heading1"/>
      </w:pPr>
      <w:r>
        <w:t>الاستجابة للحوادث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مسؤول الحادث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قناة البلاغ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زمن التصعيد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إجراءات العزل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الإخطار للعملاء/الجهات عند اللزوم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النسخ الاحتياطي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ما الذي ينسخ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التكرار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مكان التخزين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مدة الاحتفاظ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مسؤول الاختبار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