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B3A"/>
          <w:sz w:val="34"/>
        </w:rPr>
        <w:t>طلب صرف أو تسوية مصروفات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اسم الموظف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القسم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التاريخ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نوع الطلب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المبلغ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العملة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الغرض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المرفقات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>
      <w:pPr>
        <w:pStyle w:val="Heading1"/>
      </w:pPr>
      <w:r>
        <w:t>تفاصيل المصروف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البند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المبلغ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رقم الإيصال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ملاحظات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اعتماد المدير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اعتماد المالية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حالة السداد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سري/للاستخدام الرسمي — البشرى Technology | السودان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960120" cy="9601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9601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right"/>
    </w:pPr>
    <w:r>
      <w:rPr>
        <w:b/>
        <w:color w:val="18CDEF"/>
      </w:rPr>
      <w:t>البشرى Technology | AI-AlBushra Technology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