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CDEF"/>
          <w:sz w:val="44"/>
        </w:rPr>
        <w:t>البشرى Technology</w:t>
      </w:r>
    </w:p>
    <w:p>
      <w:pPr>
        <w:jc w:val="center"/>
      </w:pPr>
      <w:r>
        <w:rPr>
          <w:b/>
          <w:color w:val="0B1B3A"/>
          <w:sz w:val="32"/>
        </w:rPr>
        <w:t>قائمة مراجعة قبل التسجيل والتشغيل</w:t>
      </w:r>
    </w:p>
    <w:p>
      <w:pPr>
        <w:jc w:val="center"/>
      </w:pPr>
      <w:r>
        <w:rPr>
          <w:i/>
        </w:rPr>
        <w:t>البشرى Technology | حزمة تأسيس وتشغيل أولية — السودان</w:t>
      </w:r>
    </w:p>
    <w:p/>
    <w:p>
      <w:pPr>
        <w:pStyle w:val="Heading1"/>
      </w:pPr>
      <w:r>
        <w:t>بيانات قانونية</w:t>
      </w:r>
    </w:p>
    <w:p>
      <w:pPr>
        <w:pStyle w:val="ListBullet"/>
      </w:pPr>
      <w:r>
        <w:t>حسم الشكل القانوني.</w:t>
      </w:r>
    </w:p>
    <w:p>
      <w:pPr>
        <w:pStyle w:val="ListBullet"/>
      </w:pPr>
      <w:r>
        <w:t>التحقق من الاسم التجاري.</w:t>
      </w:r>
    </w:p>
    <w:p>
      <w:pPr>
        <w:pStyle w:val="ListBullet"/>
      </w:pPr>
      <w:r>
        <w:t>تحديد العنوان والولاية والمحلية.</w:t>
      </w:r>
    </w:p>
    <w:p>
      <w:pPr>
        <w:pStyle w:val="ListBullet"/>
      </w:pPr>
      <w:r>
        <w:t>تحديد المدير والممثل القانوني.</w:t>
      </w:r>
    </w:p>
    <w:p>
      <w:pPr>
        <w:pStyle w:val="ListBullet"/>
      </w:pPr>
      <w:r>
        <w:t>توثيق الملكية والمساهمات.</w:t>
      </w:r>
    </w:p>
    <w:p>
      <w:pPr>
        <w:pStyle w:val="ListBullet"/>
      </w:pPr>
      <w:r>
        <w:t>تحديد النشاط والتراخيص الخاصة إن لزم.</w:t>
      </w:r>
    </w:p>
    <w:p>
      <w:pPr>
        <w:pStyle w:val="Heading1"/>
      </w:pPr>
      <w:r>
        <w:t>مالية وضريبية</w:t>
      </w:r>
    </w:p>
    <w:p>
      <w:pPr>
        <w:pStyle w:val="ListBullet"/>
      </w:pPr>
      <w:r>
        <w:t>فتح حساب باسم الكيان بعد استكمال المتطلبات.</w:t>
      </w:r>
    </w:p>
    <w:p>
      <w:pPr>
        <w:pStyle w:val="ListBullet"/>
      </w:pPr>
      <w:r>
        <w:t>تحديد مسك الدفاتر والعملة والسنة المالية.</w:t>
      </w:r>
    </w:p>
    <w:p>
      <w:pPr>
        <w:pStyle w:val="ListBullet"/>
      </w:pPr>
      <w:r>
        <w:t>التحقق من التسجيلات والالتزامات الضريبية/الزكوية حسب النشاط والكيان.</w:t>
      </w:r>
    </w:p>
    <w:p>
      <w:pPr>
        <w:pStyle w:val="Heading1"/>
      </w:pPr>
      <w:r>
        <w:t>تقنية وخصوصية</w:t>
      </w:r>
    </w:p>
    <w:p>
      <w:pPr>
        <w:pStyle w:val="ListBullet"/>
      </w:pPr>
      <w:r>
        <w:t>جرد البيانات الشخصية.</w:t>
      </w:r>
    </w:p>
    <w:p>
      <w:pPr>
        <w:pStyle w:val="ListBullet"/>
      </w:pPr>
      <w:r>
        <w:t>تحديد مزودي الاستضافة والدفع.</w:t>
      </w:r>
    </w:p>
    <w:p>
      <w:pPr>
        <w:pStyle w:val="ListBullet"/>
      </w:pPr>
      <w:r>
        <w:t>نشر الخصوصية والشروط بعد المراجعة.</w:t>
      </w:r>
    </w:p>
    <w:p>
      <w:pPr>
        <w:pStyle w:val="ListBullet"/>
      </w:pPr>
      <w:r>
        <w:t>تفعيل النسخ الاحتياطية وأمن الحسابات.</w:t>
      </w:r>
    </w:p>
    <w:p>
      <w:pPr>
        <w:pStyle w:val="Heading1"/>
      </w:pPr>
      <w:r>
        <w:t>اعتماد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المحامي/المستشار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المحاسب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الممثل القانوني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تاريخ المراجعة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ملاحظات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/>
    <w:p>
      <w:r>
        <w:rPr>
          <w:b/>
        </w:rPr>
        <w:t>تنبيه: هذا نموذج أولي عام وليس بديلاً عن مراجعة محامٍ أو مستشار قانوني مرخّص في السودان قبل التوقيع أو التسجيل أو النشر.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البشرى Technology | السودان — للاستخدام الرسمي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