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CDEF"/>
          <w:sz w:val="44"/>
        </w:rPr>
        <w:t>البشرى Technology</w:t>
      </w:r>
    </w:p>
    <w:p>
      <w:pPr>
        <w:jc w:val="center"/>
      </w:pPr>
      <w:r>
        <w:rPr>
          <w:b/>
          <w:color w:val="0B1B3A"/>
          <w:sz w:val="32"/>
        </w:rPr>
        <w:t>نموذج بيانات الشركة</w:t>
      </w:r>
    </w:p>
    <w:p>
      <w:pPr>
        <w:jc w:val="center"/>
      </w:pPr>
      <w:r>
        <w:rPr>
          <w:i/>
        </w:rPr>
        <w:t>البشرى Technology | حزمة تأسيس وتشغيل أولية — السودان</w:t>
      </w:r>
    </w:p>
    <w:p/>
    <w:p>
      <w:r>
        <w:t>يُستخدم هذا النموذج لتجميع البيانات اللازمة قبل تخصيص المستندات.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الاسم القانوني المقترح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الاسم التجاري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نوع الكيان القانوني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الولاية/المحلية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العنوان المسجل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عنوان المراسلات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البريد الرسمي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الهاتف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الموقع الإلكتروني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النطاقات والتطبيقات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الممثل القانوني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الشركاء ونسب الملكية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رأس المال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السنة المالية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العملة المعتمدة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الخدمات الرئيسية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الدول المستهدفة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هل تجمع الشركة بيانات شخصية؟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مقدم الخدمات السحابية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معلومات التسجيل/الترخيص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معلومات الضرائب/الزكاة إن وجدت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حساب البنك التجاري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جهة الاتصال للطوارئ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/>
    <w:p>
      <w:r>
        <w:rPr>
          <w:b/>
        </w:rPr>
        <w:t>تنبيه: هذا نموذج أولي عام وليس بديلاً عن مراجعة محامٍ أو مستشار قانوني مرخّص في السودان قبل التوقيع أو التسجيل أو النشر.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البشرى Technology | السودان — للاستخدام الرسمي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