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قرار تعيين مدير/ممثل مفوض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رقم القرار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تاريخ القرار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اسم الكيان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اسم المعين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الصفة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مدة التعيين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حدود الصلاحيات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r>
        <w:t>يظل هذا القرار مشروطاً باعتماد الشركاء وبما تسمح به وثائق التسجيل النهائية والقانون الواجب التطبيق.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اسم الشريك/المخول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التوقيع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ختم الشركة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