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***********************************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</w:t>
      </w:r>
    </w:p>
    <w:p>
      <w:pPr>
        <w:bidi/>
        <w:jc w:val="right"/>
        <w:rPr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/>
          <w:color w:val="000000"/>
          <w:u w:val="single"/>
          <w:rtl/>
        </w:rPr>
      </w:pPr>
      <w:r>
        <w:rPr>
          <w:rtl/>
        </w:rPr>
        <w:t>עִבְרִית</w:t>
      </w:r>
      <w:r>
        <w:rPr>
          <w:rFonts w:ascii="David" w:eastAsia="David" w:hAnsi="David"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1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בסיס הנתונים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1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מרכז תמיכה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HELPDESK (CALL CENTER</w:t>
      </w:r>
      <w:r>
        <w:rPr>
          <w:rFonts w:ascii="David" w:eastAsia="David" w:hAnsi="David"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31933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