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***********************************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</w:t>
      </w:r>
    </w:p>
    <w:p>
      <w:pPr>
        <w:jc w:val="right"/>
        <w:rPr>
          <w:b/>
          <w:color w:val="FF0000"/>
          <w:sz w:val="24"/>
        </w:rPr>
      </w:pPr>
      <w:r>
        <w:rPr>
          <w:b/>
          <w:color w:val="FF0000"/>
          <w:sz w:val="24"/>
          <w:rtl/>
        </w:rPr>
        <w:t>עִבְרִית</w:t>
      </w: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***********************************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***********************************</w:t>
      </w:r>
    </w:p>
    <w:p>
      <w:pPr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tl/>
        </w:rPr>
        <w:t>עִבְרִית</w:t>
      </w: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תכניות מקור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SOURCE MODULES</w:t>
      </w:r>
    </w:p>
    <w:p w:rsidR="00A77B3E">
      <w:pPr>
        <w:numPr>
          <w:ilvl w:val="1"/>
          <w:numId w:val="7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תכניות ביצוע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EXECUTABLE MODULES</w:t>
      </w:r>
    </w:p>
    <w:p w:rsidR="00A77B3E">
      <w:pPr>
        <w:numPr>
          <w:ilvl w:val="0"/>
          <w:numId w:val="7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1"/>
          <w:numId w:val="8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8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9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בסיס הנתונים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DBMS</w:t>
      </w:r>
    </w:p>
    <w:p w:rsidR="00A77B3E">
      <w:pPr>
        <w:numPr>
          <w:ilvl w:val="0"/>
          <w:numId w:val="9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1"/>
          <w:numId w:val="13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13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4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מרכז תמיכה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HELPDESK (CALL CENTER)</w:t>
      </w:r>
    </w:p>
    <w:p w:rsidR="00A77B3E">
      <w:pPr>
        <w:numPr>
          <w:ilvl w:val="1"/>
          <w:numId w:val="1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1492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