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yui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Realm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provides results relatively faster than SQLite, and is much more performance minded.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simple to use, thanks to it being an object database. By just creating a class that extends RealmObject class, you are all set.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can  be used across platforms like iOS, Xamarin and React Native too.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Easy creating and storing of data while on the move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