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firstLine="1325" w:firstLineChars="300"/>
        <w:jc w:val="both"/>
        <w:rPr>
          <w:rFonts w:hint="eastAsia"/>
        </w:rPr>
      </w:pPr>
      <w:bookmarkStart w:id="0" w:name="_Toc513198453"/>
      <w:r>
        <w:rPr>
          <w:rFonts w:hint="eastAsia"/>
        </w:rPr>
        <w:t>股票选股监督式学习分类模型</w:t>
      </w:r>
      <w:bookmarkEnd w:id="0"/>
    </w:p>
    <w:sdt>
      <w:sdtPr>
        <w:rPr>
          <w:lang w:val="zh-CN"/>
        </w:rPr>
        <w:id w:val="-1489624241"/>
        <w:docPartObj>
          <w:docPartGallery w:val="Table of Contents"/>
          <w:docPartUnique/>
        </w:docPartObj>
      </w:sdtPr>
      <w:sdtEndPr>
        <w:rPr>
          <w:rFonts w:asciiTheme="minorHAnsi" w:hAnsiTheme="minorHAnsi" w:eastAsiaTheme="minorEastAsia" w:cstheme="minorBidi"/>
          <w:color w:val="auto"/>
          <w:kern w:val="2"/>
          <w:sz w:val="21"/>
          <w:szCs w:val="22"/>
          <w:lang w:val="zh-CN"/>
        </w:rPr>
      </w:sdtEndPr>
      <w:sdtContent>
        <w:p>
          <w:pPr>
            <w:pStyle w:val="21"/>
          </w:pPr>
          <w:r>
            <w:rPr>
              <w:lang w:val="zh-CN"/>
            </w:rPr>
            <w:t>目录</w:t>
          </w:r>
        </w:p>
        <w:p>
          <w:pPr>
            <w:pStyle w:val="12"/>
            <w:tabs>
              <w:tab w:val="right" w:leader="dot" w:pos="8296"/>
            </w:tabs>
          </w:pPr>
          <w:r>
            <w:fldChar w:fldCharType="begin"/>
          </w:r>
          <w:r>
            <w:instrText xml:space="preserve"> TOC \o "1-3" \h \z \u </w:instrText>
          </w:r>
          <w:r>
            <w:fldChar w:fldCharType="separate"/>
          </w:r>
          <w:r>
            <w:fldChar w:fldCharType="begin"/>
          </w:r>
          <w:r>
            <w:instrText xml:space="preserve"> HYPERLINK \l "_Toc513198453" </w:instrText>
          </w:r>
          <w:r>
            <w:fldChar w:fldCharType="separate"/>
          </w:r>
          <w:r>
            <w:rPr>
              <w:rStyle w:val="17"/>
              <w:rFonts w:hint="eastAsia"/>
            </w:rPr>
            <w:t>股票选股监督式学习分类模型</w:t>
          </w:r>
          <w:r>
            <w:tab/>
          </w:r>
          <w:r>
            <w:fldChar w:fldCharType="begin"/>
          </w:r>
          <w:r>
            <w:instrText xml:space="preserve"> PAGEREF _Toc513198453 \h </w:instrText>
          </w:r>
          <w:r>
            <w:fldChar w:fldCharType="separate"/>
          </w:r>
          <w:r>
            <w:t>1</w:t>
          </w:r>
          <w:r>
            <w:fldChar w:fldCharType="end"/>
          </w:r>
          <w:r>
            <w:fldChar w:fldCharType="end"/>
          </w:r>
        </w:p>
        <w:p>
          <w:pPr>
            <w:pStyle w:val="13"/>
            <w:tabs>
              <w:tab w:val="right" w:leader="dot" w:pos="8296"/>
            </w:tabs>
          </w:pPr>
          <w:r>
            <w:fldChar w:fldCharType="begin"/>
          </w:r>
          <w:r>
            <w:instrText xml:space="preserve"> HYPERLINK \l "_Toc513198454" </w:instrText>
          </w:r>
          <w:r>
            <w:fldChar w:fldCharType="separate"/>
          </w:r>
          <w:r>
            <w:rPr>
              <w:rStyle w:val="17"/>
              <w:rFonts w:hint="eastAsia"/>
            </w:rPr>
            <w:t>一、价格模型</w:t>
          </w:r>
          <w:r>
            <w:tab/>
          </w:r>
          <w:r>
            <w:fldChar w:fldCharType="begin"/>
          </w:r>
          <w:r>
            <w:instrText xml:space="preserve"> PAGEREF _Toc513198454 \h </w:instrText>
          </w:r>
          <w:r>
            <w:fldChar w:fldCharType="separate"/>
          </w:r>
          <w:r>
            <w:rPr>
              <w:b/>
            </w:rPr>
            <w:t>错误！未定义书签。</w:t>
          </w:r>
          <w:r>
            <w:fldChar w:fldCharType="end"/>
          </w:r>
          <w:r>
            <w:fldChar w:fldCharType="end"/>
          </w:r>
        </w:p>
        <w:p>
          <w:pPr>
            <w:pStyle w:val="13"/>
            <w:tabs>
              <w:tab w:val="right" w:leader="dot" w:pos="8296"/>
            </w:tabs>
          </w:pPr>
          <w:r>
            <w:fldChar w:fldCharType="begin"/>
          </w:r>
          <w:r>
            <w:instrText xml:space="preserve"> HYPERLINK \l "_Toc513198455" </w:instrText>
          </w:r>
          <w:r>
            <w:fldChar w:fldCharType="separate"/>
          </w:r>
          <w:r>
            <w:rPr>
              <w:rStyle w:val="17"/>
              <w:rFonts w:hint="eastAsia"/>
            </w:rPr>
            <w:t>二、现金流模型</w:t>
          </w:r>
          <w:r>
            <w:tab/>
          </w:r>
          <w:r>
            <w:fldChar w:fldCharType="begin"/>
          </w:r>
          <w:r>
            <w:instrText xml:space="preserve"> PAGEREF _Toc513198455 \h </w:instrText>
          </w:r>
          <w:r>
            <w:fldChar w:fldCharType="separate"/>
          </w:r>
          <w:r>
            <w:rPr>
              <w:b/>
            </w:rPr>
            <w:t>错误！未定义书签。</w:t>
          </w:r>
          <w:r>
            <w:fldChar w:fldCharType="end"/>
          </w:r>
          <w:r>
            <w:fldChar w:fldCharType="end"/>
          </w:r>
        </w:p>
        <w:p>
          <w:r>
            <w:rPr>
              <w:b/>
              <w:bCs/>
              <w:lang w:val="zh-CN"/>
            </w:rPr>
            <w:fldChar w:fldCharType="end"/>
          </w:r>
        </w:p>
      </w:sdtContent>
    </w:sdt>
    <w:p>
      <w:pPr>
        <w:widowControl/>
        <w:jc w:val="left"/>
      </w:pPr>
      <w:r>
        <w:br w:type="page"/>
      </w:r>
    </w:p>
    <w:p>
      <w:pPr>
        <w:rPr>
          <w:rFonts w:hint="eastAsia"/>
        </w:rPr>
      </w:pPr>
    </w:p>
    <w:p>
      <w:pPr>
        <w:rPr>
          <w:rFonts w:hint="eastAsia"/>
        </w:rPr>
      </w:pPr>
    </w:p>
    <w:p>
      <w:pPr>
        <w:pStyle w:val="3"/>
        <w:rPr>
          <w:rFonts w:hint="eastAsia"/>
          <w:lang w:val="en-US" w:eastAsia="zh-CN"/>
        </w:rPr>
      </w:pPr>
      <w:r>
        <w:rPr>
          <w:rFonts w:hint="eastAsia"/>
          <w:lang w:val="en-US" w:eastAsia="zh-CN"/>
        </w:rPr>
        <w:t>业务场景</w:t>
      </w:r>
    </w:p>
    <w:p>
      <w:pPr>
        <w:pStyle w:val="4"/>
        <w:numPr>
          <w:ilvl w:val="2"/>
          <w:numId w:val="0"/>
        </w:numPr>
        <w:ind w:leftChars="0"/>
        <w:rPr>
          <w:rFonts w:hint="eastAsia"/>
          <w:b w:val="0"/>
          <w:bCs/>
          <w:sz w:val="21"/>
          <w:szCs w:val="16"/>
          <w:lang w:val="en-US" w:eastAsia="zh-CN"/>
        </w:rPr>
      </w:pPr>
      <w:r>
        <w:rPr>
          <w:rFonts w:hint="eastAsia"/>
          <w:b w:val="0"/>
          <w:bCs/>
          <w:sz w:val="21"/>
          <w:szCs w:val="16"/>
          <w:lang w:val="en-US" w:eastAsia="zh-CN"/>
        </w:rPr>
        <w:t>上市公司的财务指标可以清晰的反映出该公司的盈利情况和之后的成长能力。所以，对公司财务指标的统计和分析，是进行投资的重要砝码和度量衡。</w:t>
      </w:r>
    </w:p>
    <w:p>
      <w:pPr>
        <w:pStyle w:val="4"/>
        <w:numPr>
          <w:ilvl w:val="2"/>
          <w:numId w:val="0"/>
        </w:numPr>
        <w:ind w:leftChars="0"/>
        <w:rPr>
          <w:rFonts w:hint="eastAsia"/>
          <w:lang w:val="en-US" w:eastAsia="zh-CN"/>
        </w:rPr>
      </w:pPr>
      <w:r>
        <w:rPr>
          <w:rFonts w:hint="eastAsia"/>
          <w:b w:val="0"/>
          <w:bCs/>
          <w:sz w:val="21"/>
          <w:szCs w:val="16"/>
          <w:lang w:val="en-US" w:eastAsia="zh-CN"/>
        </w:rPr>
        <w:t>本模型是基于领域内专业分析结果和大数据相关性筛选验证，选取了直接影响上市公司利润和盈利能力的多个因子和指标，立足于人工智能制定的出的方法和策略。通过该模型和某企业最新数据，可对此企业之后两个季度的盈利能力进行预测，为投资提供准确的依据，进而实现投资的保值或增值。</w:t>
      </w:r>
    </w:p>
    <w:p>
      <w:pPr>
        <w:pStyle w:val="3"/>
        <w:rPr>
          <w:rFonts w:hint="eastAsia"/>
          <w:lang w:val="en-US" w:eastAsia="zh-CN"/>
        </w:rPr>
      </w:pPr>
      <w:r>
        <w:rPr>
          <w:rFonts w:hint="eastAsia"/>
          <w:lang w:val="en-US" w:eastAsia="zh-CN"/>
        </w:rPr>
        <w:t>数据获取和清洗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通过数据抓取获得A股所有上市公司一年内企业股价情况和一年内企业的财务分析数据，包括盈利能力，营运能力，成长能力，偿债能力和业绩报表，2018年度上半年企业的股票收益率变化情况。数据库包含2017年所有股票的每日股票情况和财务分析数据，2018年所有股票的每日股票情况。对获得的数据进行以下步骤处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lang w:val="en-US" w:eastAsia="zh-CN"/>
        </w:rPr>
      </w:pPr>
      <w:r>
        <w:rPr>
          <w:rFonts w:hint="eastAsia"/>
          <w:lang w:val="en-US" w:eastAsia="zh-CN"/>
        </w:rPr>
        <w:t>数据的规整和清洗</w:t>
      </w:r>
      <w:r>
        <w:rPr>
          <w:rFonts w:hint="eastAsia"/>
          <w:lang w:val="en-US" w:eastAsia="zh-CN"/>
        </w:rPr>
        <w:br w:type="textWrapping"/>
      </w:r>
      <w:r>
        <w:rPr>
          <w:rFonts w:hint="eastAsia"/>
          <w:lang w:val="en-US" w:eastAsia="zh-CN"/>
        </w:rPr>
        <w:t>对获得的所有财务分析数据通过股票代码进行合并，去除重复项和缺失项。计算2017年内股票的收益率情况和最大回撤率，并和财务分析数据合并，清洗缺失项和重复项。终表和2018年上半年收益率情况合并，一共有1442支股票可进行下一步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outlineLvl w:val="9"/>
        <w:rPr>
          <w:rFonts w:hint="eastAsia"/>
          <w:vertAlign w:val="baseline"/>
          <w:lang w:val="en-US" w:eastAsia="zh-CN"/>
        </w:rPr>
      </w:pPr>
      <w:r>
        <w:rPr>
          <w:rFonts w:hint="eastAsia"/>
          <w:lang w:val="en-US" w:eastAsia="zh-CN"/>
        </w:rPr>
        <w:t>合并总表的数据处理</w:t>
      </w:r>
      <w:r>
        <w:rPr>
          <w:rFonts w:hint="eastAsia"/>
          <w:lang w:val="en-US" w:eastAsia="zh-CN"/>
        </w:rPr>
        <w:br w:type="textWrapping"/>
      </w:r>
      <w:r>
        <w:rPr>
          <w:rFonts w:hint="eastAsia"/>
          <w:lang w:val="en-US" w:eastAsia="zh-CN"/>
        </w:rPr>
        <w:t>对合并后的总表进行特征列的重命名，数据格式的转换，数据特征列的新增和删减。总表存入数据库。</w:t>
      </w:r>
      <w:r>
        <w:rPr>
          <w:rFonts w:hint="eastAsia"/>
          <w:lang w:val="en-US" w:eastAsia="zh-CN"/>
        </w:rPr>
        <w:br w:type="textWrapping"/>
      </w:r>
      <w:r>
        <w:rPr>
          <w:rFonts w:hint="eastAsia"/>
          <w:lang w:val="en-US" w:eastAsia="zh-CN"/>
        </w:rPr>
        <w:t>数据特征列表如下：</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p>
    <w:tbl>
      <w:tblPr>
        <w:tblStyle w:val="19"/>
        <w:tblW w:w="4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single" w:color="auto" w:sz="12" w:space="0"/>
              <w:left w:val="nil"/>
              <w:bottom w:val="single" w:color="auto" w:sz="6" w:space="0"/>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lang w:val="en-US" w:eastAsia="zh-CN"/>
              </w:rPr>
            </w:pPr>
            <w:r>
              <w:rPr>
                <w:rFonts w:hint="eastAsia"/>
                <w:color w:val="000000"/>
                <w:lang w:val="en-US" w:eastAsia="zh-CN"/>
              </w:rPr>
              <w:t>特征向量类别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single" w:color="auto" w:sz="6" w:space="0"/>
              <w:left w:val="nil"/>
              <w:bottom w:val="nil"/>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vertAlign w:val="baseline"/>
                <w:lang w:val="en-US" w:eastAsia="zh-CN"/>
              </w:rPr>
            </w:pPr>
            <w:r>
              <w:rPr>
                <w:rFonts w:hint="eastAsia"/>
                <w:color w:val="000000"/>
                <w:lang w:val="en-US" w:eastAsia="zh-CN"/>
              </w:rPr>
              <w:t>净资产收益率(%)前一年:roe_yearly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nil"/>
              <w:left w:val="nil"/>
              <w:bottom w:val="nil"/>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vertAlign w:val="baseline"/>
                <w:lang w:val="en-US" w:eastAsia="zh-CN"/>
              </w:rPr>
            </w:pPr>
            <w:r>
              <w:rPr>
                <w:rFonts w:hint="eastAsia"/>
                <w:color w:val="000000"/>
                <w:lang w:val="en-US" w:eastAsia="zh-CN"/>
              </w:rPr>
              <w:t>毛利率(%)前一年：gross_profit_rate_yearly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nil"/>
              <w:left w:val="nil"/>
              <w:bottom w:val="nil"/>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vertAlign w:val="baseline"/>
                <w:lang w:val="en-US" w:eastAsia="zh-CN"/>
              </w:rPr>
            </w:pPr>
            <w:r>
              <w:rPr>
                <w:rFonts w:hint="eastAsia"/>
                <w:color w:val="000000"/>
                <w:lang w:val="en-US" w:eastAsia="zh-CN"/>
              </w:rPr>
              <w:t>总资产增长率(%)前一年：targ_yearly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nil"/>
              <w:left w:val="nil"/>
              <w:bottom w:val="nil"/>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vertAlign w:val="baseline"/>
                <w:lang w:val="en-US" w:eastAsia="zh-CN"/>
              </w:rPr>
            </w:pPr>
            <w:r>
              <w:rPr>
                <w:rFonts w:hint="eastAsia"/>
                <w:color w:val="000000"/>
                <w:lang w:val="en-US" w:eastAsia="zh-CN"/>
              </w:rPr>
              <w:t>每股收益增长率(%)前一年：epsg_yearly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nil"/>
              <w:left w:val="nil"/>
              <w:bottom w:val="nil"/>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vertAlign w:val="baseline"/>
                <w:lang w:val="en-US" w:eastAsia="zh-CN"/>
              </w:rPr>
            </w:pPr>
            <w:r>
              <w:rPr>
                <w:rFonts w:hint="eastAsia"/>
                <w:color w:val="000000"/>
                <w:lang w:val="en-US" w:eastAsia="zh-CN"/>
              </w:rPr>
              <w:t>营业收入净利率(%)前一年：TTM_yearly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nil"/>
              <w:left w:val="nil"/>
              <w:bottom w:val="nil"/>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vertAlign w:val="baseline"/>
                <w:lang w:val="en-US" w:eastAsia="zh-CN"/>
              </w:rPr>
            </w:pPr>
            <w:r>
              <w:rPr>
                <w:rFonts w:hint="eastAsia"/>
                <w:color w:val="000000"/>
                <w:lang w:val="en-US" w:eastAsia="zh-CN"/>
              </w:rPr>
              <w:t>每股收益前一年</w:t>
            </w:r>
            <w:bookmarkStart w:id="1" w:name="_GoBack"/>
            <w:bookmarkEnd w:id="1"/>
            <w:r>
              <w:rPr>
                <w:rFonts w:hint="eastAsia"/>
                <w:color w:val="000000"/>
                <w:lang w:val="en-US" w:eastAsia="zh-CN"/>
              </w:rPr>
              <w:t>:eps_yearly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2" w:hRule="atLeast"/>
        </w:trPr>
        <w:tc>
          <w:tcPr>
            <w:tcW w:w="4470" w:type="dxa"/>
            <w:tcBorders>
              <w:top w:val="nil"/>
              <w:left w:val="nil"/>
              <w:bottom w:val="single" w:color="auto" w:sz="12" w:space="0"/>
              <w:right w:val="nil"/>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color w:val="000000"/>
                <w:vertAlign w:val="baseline"/>
                <w:lang w:val="en-US" w:eastAsia="zh-CN"/>
              </w:rPr>
            </w:pPr>
            <w:r>
              <w:rPr>
                <w:rFonts w:hint="eastAsia"/>
                <w:color w:val="000000"/>
                <w:lang w:val="en-US" w:eastAsia="zh-CN"/>
              </w:rPr>
              <w:t>最大收益率(%)前一年:er_yearly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pStyle w:val="3"/>
        <w:rPr>
          <w:rFonts w:hint="eastAsia"/>
          <w:lang w:val="en-US" w:eastAsia="zh-CN"/>
        </w:rPr>
      </w:pPr>
      <w:r>
        <w:rPr>
          <w:rFonts w:hint="eastAsia"/>
          <w:lang w:val="en-US" w:eastAsia="zh-CN"/>
        </w:rPr>
        <w:t xml:space="preserve">分类标准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通过对每只股票后两个季度的收益率逆序排序，对收益率大小由高到低进行二分，定义在所有公司中，股票收益率排名为前百分之二十五的公司为一类，其余为二类。</w:t>
      </w:r>
    </w:p>
    <w:p>
      <w:pPr>
        <w:pStyle w:val="3"/>
        <w:rPr>
          <w:rFonts w:hint="eastAsia"/>
          <w:lang w:val="en-US" w:eastAsia="zh-CN"/>
        </w:rPr>
      </w:pPr>
      <w:r>
        <w:rPr>
          <w:rFonts w:hint="eastAsia"/>
          <w:lang w:val="en-US" w:eastAsia="zh-CN"/>
        </w:rPr>
        <w:t>数据划分</w:t>
      </w:r>
    </w:p>
    <w:p>
      <w:pPr>
        <w:rPr>
          <w:rFonts w:hint="eastAsia"/>
          <w:lang w:val="en-US" w:eastAsia="zh-CN"/>
        </w:rPr>
      </w:pPr>
      <w:r>
        <w:rPr>
          <w:rFonts w:hint="eastAsia"/>
          <w:lang w:val="en-US" w:eastAsia="zh-CN"/>
        </w:rPr>
        <w:t>对数据库中总表的数据需要划分成训练集和测试集，训练集用来对深度学习模型进行训练测试集用来对训练好的模型进行测试并且评价模型效果。划分原则如下：</w:t>
      </w:r>
    </w:p>
    <w:p>
      <w:pPr>
        <w:numPr>
          <w:ilvl w:val="0"/>
          <w:numId w:val="3"/>
        </w:numPr>
        <w:ind w:left="420" w:leftChars="0" w:firstLine="0" w:firstLineChars="0"/>
        <w:rPr>
          <w:rFonts w:hint="eastAsia"/>
          <w:lang w:val="en-US" w:eastAsia="zh-CN"/>
        </w:rPr>
      </w:pPr>
      <w:r>
        <w:rPr>
          <w:rFonts w:hint="eastAsia"/>
          <w:lang w:val="en-US" w:eastAsia="zh-CN"/>
        </w:rPr>
        <w:t>训练数据集和测试数据集互斥。</w:t>
      </w:r>
    </w:p>
    <w:p>
      <w:pPr>
        <w:numPr>
          <w:ilvl w:val="0"/>
          <w:numId w:val="3"/>
        </w:numPr>
        <w:ind w:left="420" w:leftChars="0" w:firstLine="0" w:firstLineChars="0"/>
        <w:rPr>
          <w:rFonts w:hint="eastAsia"/>
          <w:lang w:val="en-US" w:eastAsia="zh-CN"/>
        </w:rPr>
      </w:pPr>
      <w:r>
        <w:rPr>
          <w:rFonts w:hint="eastAsia"/>
          <w:lang w:val="en-US" w:eastAsia="zh-CN"/>
        </w:rPr>
        <w:t>训练数据集占总数据集的百分之七十五，测试数据集占总数据集的百分之二十五。</w:t>
      </w:r>
    </w:p>
    <w:p>
      <w:pPr>
        <w:numPr>
          <w:ilvl w:val="0"/>
          <w:numId w:val="3"/>
        </w:numPr>
        <w:ind w:left="420" w:leftChars="0" w:firstLine="0" w:firstLineChars="0"/>
        <w:rPr>
          <w:rFonts w:hint="eastAsia"/>
          <w:lang w:val="en-US" w:eastAsia="zh-CN"/>
        </w:rPr>
      </w:pPr>
      <w:r>
        <w:rPr>
          <w:rFonts w:hint="eastAsia"/>
          <w:lang w:val="en-US" w:eastAsia="zh-CN"/>
        </w:rPr>
        <w:t>为了保证划分后数据的一致性，在划分时使用了随机抽样和分层抽样方法。</w:t>
      </w:r>
      <w:r>
        <w:rPr>
          <w:rFonts w:hint="eastAsia"/>
          <w:lang w:val="en-US" w:eastAsia="zh-CN"/>
        </w:rPr>
        <w:br w:type="textWrapping"/>
      </w:r>
      <w:r>
        <w:rPr>
          <w:rFonts w:hint="eastAsia"/>
          <w:lang w:val="en-US" w:eastAsia="zh-CN"/>
        </w:rPr>
        <w:t>划分后的数据集分为四类：训练特征数据，训练标签数据，测试特征数据，测试标签数据。存入数据库。</w:t>
      </w:r>
    </w:p>
    <w:p>
      <w:pPr>
        <w:pStyle w:val="3"/>
        <w:rPr>
          <w:rFonts w:hint="eastAsia"/>
          <w:lang w:val="en-US" w:eastAsia="zh-CN"/>
        </w:rPr>
      </w:pPr>
      <w:r>
        <w:rPr>
          <w:rFonts w:hint="eastAsia"/>
          <w:lang w:val="en-US" w:eastAsia="zh-CN"/>
        </w:rPr>
        <w:t>模型输入和输出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在Tensorflow上进行深度学习模型开发，主要包括优化学习率，神经元个数，神经网络层数等。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步骤为：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训练特征数据和训练特征标签输入进模型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在每轮训练中，模型对特征数据进行训练，计算损失函数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计算模型输出结果和训练特征标签的匹配度，调整参数使得损失函数减小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继续下一轮训练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达到稳定或者完成训练轮数后，跳出训练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打印并输出结果，保存训练模型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用测试标签数据和测试特征数据输入保存好的模型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输出准确度，评价模型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合并训练特征数据和测试特征数据，输入模型，评价结果</w:t>
      </w:r>
      <w:r>
        <w:rPr>
          <w:rFonts w:hint="eastAsia"/>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模型评价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1442支股票特征数据集输入训练模型后，输出的结果与其真实2018年上半年收益率对比，一共有1257支预测正确，正确率为86.6%。符合预期值。</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object>
          <v:shape id="_x0000_i1025" o:spt="75" type="#_x0000_t75" style="height:66pt;width:72.75pt;" o:ole="t" filled="f" o:preferrelative="t" stroked="f" coordsize="21600,21600">
            <v:fill on="f" focussize="0,0"/>
            <v:stroke on="f"/>
            <v:imagedata r:id="rId5" o:title=""/>
            <o:lock v:ext="edit" aspectratio="t"/>
            <w10:wrap type="none"/>
            <w10:anchorlock/>
          </v:shape>
          <o:OLEObject Type="Embed" ProgID="Excel.Sheet.8" ShapeID="_x0000_i1025" DrawAspect="Icon" ObjectID="_1468075725" r:id="rId4">
            <o:LockedField>false</o:LockedField>
          </o:OLEObject>
        </w:object>
      </w:r>
    </w:p>
    <w:p>
      <w:pPr>
        <w:pStyle w:val="3"/>
        <w:rPr>
          <w:rFonts w:hint="eastAsia"/>
          <w:lang w:val="en-US" w:eastAsia="zh-CN"/>
        </w:rPr>
      </w:pPr>
      <w:r>
        <w:rPr>
          <w:rFonts w:hint="eastAsia"/>
          <w:lang w:val="en-US" w:eastAsia="zh-CN"/>
        </w:rPr>
        <w:t>总结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该模型预测准确率达到预期，之后可以对以下几点进行优化：</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输入数据特征进行扩充和完善，找寻更多财务指标特征。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对股票数目进行扩充和完善，把更多的股票加入训练和预测的股票池。</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对模型的参数优化函数进行优化，寻找合适的参数优化函数。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对模型标签分类依据进行优化，寻找适合的阈值对股票进行二分类。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该模型基于对企业重要财务指标的分析和归纳，结合人工智能算法，能够预测出后两个季度的公司收益率变化，给投资者提供了一个自动化预测公司利润变动的平台和参考指南，给与了投资保值增值的可靠依据。</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E4E40"/>
    <w:multiLevelType w:val="multilevel"/>
    <w:tmpl w:val="B43E4E4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8555630"/>
    <w:multiLevelType w:val="singleLevel"/>
    <w:tmpl w:val="F8555630"/>
    <w:lvl w:ilvl="0" w:tentative="0">
      <w:start w:val="1"/>
      <w:numFmt w:val="chineseCounting"/>
      <w:suff w:val="nothing"/>
      <w:lvlText w:val="（%1）"/>
      <w:lvlJc w:val="left"/>
      <w:pPr>
        <w:ind w:left="0" w:firstLine="420"/>
      </w:pPr>
      <w:rPr>
        <w:rFonts w:hint="eastAsia"/>
      </w:rPr>
    </w:lvl>
  </w:abstractNum>
  <w:abstractNum w:abstractNumId="2">
    <w:nsid w:val="0B998522"/>
    <w:multiLevelType w:val="singleLevel"/>
    <w:tmpl w:val="0B998522"/>
    <w:lvl w:ilvl="0" w:tentative="0">
      <w:start w:val="1"/>
      <w:numFmt w:val="chineseCounting"/>
      <w:suff w:val="nothing"/>
      <w:lvlText w:val="（%1）"/>
      <w:lvlJc w:val="left"/>
      <w:pPr>
        <w:ind w:left="0" w:firstLine="420"/>
      </w:pPr>
      <w:rPr>
        <w:rFonts w:hint="eastAsia"/>
      </w:rPr>
    </w:lvl>
  </w:abstractNum>
  <w:abstractNum w:abstractNumId="3">
    <w:nsid w:val="2DE27E7D"/>
    <w:multiLevelType w:val="singleLevel"/>
    <w:tmpl w:val="2DE27E7D"/>
    <w:lvl w:ilvl="0" w:tentative="0">
      <w:start w:val="1"/>
      <w:numFmt w:val="chineseCounting"/>
      <w:suff w:val="nothing"/>
      <w:lvlText w:val="（%1）"/>
      <w:lvlJc w:val="left"/>
      <w:pPr>
        <w:ind w:left="0" w:firstLine="420"/>
      </w:pPr>
      <w:rPr>
        <w:rFonts w:hint="eastAsia"/>
      </w:rPr>
    </w:lvl>
  </w:abstractNum>
  <w:abstractNum w:abstractNumId="4">
    <w:nsid w:val="2DE59424"/>
    <w:multiLevelType w:val="singleLevel"/>
    <w:tmpl w:val="2DE59424"/>
    <w:lvl w:ilvl="0" w:tentative="0">
      <w:start w:val="1"/>
      <w:numFmt w:val="chineseCounting"/>
      <w:suff w:val="nothing"/>
      <w:lvlText w:val="（%1）"/>
      <w:lvlJc w:val="left"/>
      <w:pPr>
        <w:ind w:left="0" w:firstLine="420"/>
      </w:pPr>
      <w:rPr>
        <w:rFonts w:hint="eastAsia"/>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99"/>
    <w:rsid w:val="0012042E"/>
    <w:rsid w:val="001F5D99"/>
    <w:rsid w:val="00277923"/>
    <w:rsid w:val="003E5F75"/>
    <w:rsid w:val="00463B1E"/>
    <w:rsid w:val="0048411C"/>
    <w:rsid w:val="006A76C2"/>
    <w:rsid w:val="007B393D"/>
    <w:rsid w:val="00877CFB"/>
    <w:rsid w:val="008F5B2E"/>
    <w:rsid w:val="00B15DEB"/>
    <w:rsid w:val="00D30B36"/>
    <w:rsid w:val="00D31627"/>
    <w:rsid w:val="00E301EF"/>
    <w:rsid w:val="00E91F5B"/>
    <w:rsid w:val="027B54C4"/>
    <w:rsid w:val="029B0EC4"/>
    <w:rsid w:val="07576EC2"/>
    <w:rsid w:val="09DC1510"/>
    <w:rsid w:val="0E583F78"/>
    <w:rsid w:val="109F1955"/>
    <w:rsid w:val="114B5DB9"/>
    <w:rsid w:val="14C27905"/>
    <w:rsid w:val="16B75BAC"/>
    <w:rsid w:val="19C63389"/>
    <w:rsid w:val="1AA73B61"/>
    <w:rsid w:val="21EA3201"/>
    <w:rsid w:val="22952090"/>
    <w:rsid w:val="23026C6B"/>
    <w:rsid w:val="2451758F"/>
    <w:rsid w:val="28477C2D"/>
    <w:rsid w:val="32F87B25"/>
    <w:rsid w:val="36DC4A94"/>
    <w:rsid w:val="3A9E76B7"/>
    <w:rsid w:val="3AFA4EE8"/>
    <w:rsid w:val="3CB56213"/>
    <w:rsid w:val="3DE1627F"/>
    <w:rsid w:val="43A312FE"/>
    <w:rsid w:val="46367327"/>
    <w:rsid w:val="47DA24A4"/>
    <w:rsid w:val="48674DCB"/>
    <w:rsid w:val="4D557F6F"/>
    <w:rsid w:val="51CC1D3C"/>
    <w:rsid w:val="53220CF6"/>
    <w:rsid w:val="56CE44F6"/>
    <w:rsid w:val="5DA26517"/>
    <w:rsid w:val="5DB71ADC"/>
    <w:rsid w:val="5F507949"/>
    <w:rsid w:val="5FBB4A24"/>
    <w:rsid w:val="662265E4"/>
    <w:rsid w:val="69084795"/>
    <w:rsid w:val="73C649B6"/>
    <w:rsid w:val="76121468"/>
    <w:rsid w:val="7CD6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2"/>
    <w:semiHidden/>
    <w:unhideWhenUsed/>
    <w:qFormat/>
    <w:uiPriority w:val="99"/>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6">
    <w:name w:val="Strong"/>
    <w:basedOn w:val="15"/>
    <w:qFormat/>
    <w:uiPriority w:val="22"/>
    <w:rPr>
      <w:b/>
    </w:rPr>
  </w:style>
  <w:style w:type="character" w:styleId="17">
    <w:name w:val="Hyperlink"/>
    <w:basedOn w:val="15"/>
    <w:unhideWhenUsed/>
    <w:qFormat/>
    <w:uiPriority w:val="99"/>
    <w:rPr>
      <w:color w:val="0000FF"/>
      <w:u w:val="single"/>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标题 1 Char"/>
    <w:basedOn w:val="15"/>
    <w:link w:val="2"/>
    <w:qFormat/>
    <w:uiPriority w:val="9"/>
    <w:rPr>
      <w:b/>
      <w:bCs/>
      <w:kern w:val="44"/>
      <w:sz w:val="44"/>
      <w:szCs w:val="44"/>
    </w:rPr>
  </w:style>
  <w:style w:type="paragraph" w:customStyle="1" w:styleId="2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2">
    <w:name w:val="批注框文本 Char"/>
    <w:basedOn w:val="15"/>
    <w:link w:val="11"/>
    <w:semiHidden/>
    <w:qFormat/>
    <w:uiPriority w:val="99"/>
    <w:rPr>
      <w:sz w:val="18"/>
      <w:szCs w:val="18"/>
    </w:rPr>
  </w:style>
  <w:style w:type="character" w:customStyle="1" w:styleId="23">
    <w:name w:val="标题 2 Char"/>
    <w:basedOn w:val="15"/>
    <w:link w:val="3"/>
    <w:qFormat/>
    <w:uiPriority w:val="9"/>
    <w:rPr>
      <w:rFonts w:asciiTheme="majorHAnsi" w:hAnsiTheme="majorHAnsi" w:eastAsiaTheme="majorEastAsia" w:cstheme="majorBidi"/>
      <w:b/>
      <w:bCs/>
      <w:sz w:val="32"/>
      <w:szCs w:val="32"/>
    </w:rPr>
  </w:style>
  <w:style w:type="character" w:customStyle="1" w:styleId="24">
    <w:name w:val="font51"/>
    <w:basedOn w:val="15"/>
    <w:qFormat/>
    <w:uiPriority w:val="0"/>
    <w:rPr>
      <w:rFonts w:hint="eastAsia" w:ascii="宋体" w:hAnsi="宋体" w:eastAsia="宋体" w:cs="宋体"/>
      <w:color w:val="800080"/>
      <w:sz w:val="21"/>
      <w:szCs w:val="21"/>
      <w:u w:val="none"/>
    </w:rPr>
  </w:style>
  <w:style w:type="character" w:customStyle="1" w:styleId="25">
    <w:name w:val="font101"/>
    <w:basedOn w:val="15"/>
    <w:qFormat/>
    <w:uiPriority w:val="0"/>
    <w:rPr>
      <w:rFonts w:hint="default" w:ascii="Courier New" w:hAnsi="Courier New" w:cs="Courier New"/>
      <w:color w:val="7030A0"/>
      <w:sz w:val="21"/>
      <w:szCs w:val="21"/>
      <w:u w:val="none"/>
    </w:rPr>
  </w:style>
  <w:style w:type="character" w:customStyle="1" w:styleId="26">
    <w:name w:val="font71"/>
    <w:basedOn w:val="15"/>
    <w:qFormat/>
    <w:uiPriority w:val="0"/>
    <w:rPr>
      <w:rFonts w:hint="eastAsia" w:ascii="宋体" w:hAnsi="宋体" w:eastAsia="宋体" w:cs="宋体"/>
      <w:color w:val="00CCFF"/>
      <w:sz w:val="21"/>
      <w:szCs w:val="21"/>
      <w:u w:val="none"/>
    </w:rPr>
  </w:style>
  <w:style w:type="character" w:customStyle="1" w:styleId="27">
    <w:name w:val="font31"/>
    <w:basedOn w:val="15"/>
    <w:qFormat/>
    <w:uiPriority w:val="0"/>
    <w:rPr>
      <w:rFonts w:hint="default" w:ascii="Courier New" w:hAnsi="Courier New" w:cs="Courier New"/>
      <w:color w:val="00B0F0"/>
      <w:sz w:val="21"/>
      <w:szCs w:val="21"/>
      <w:u w:val="none"/>
    </w:rPr>
  </w:style>
  <w:style w:type="character" w:customStyle="1" w:styleId="28">
    <w:name w:val="font01"/>
    <w:basedOn w:val="15"/>
    <w:qFormat/>
    <w:uiPriority w:val="0"/>
    <w:rPr>
      <w:rFonts w:hint="eastAsia" w:ascii="宋体" w:hAnsi="宋体" w:eastAsia="宋体" w:cs="宋体"/>
      <w:color w:val="000000"/>
      <w:sz w:val="21"/>
      <w:szCs w:val="21"/>
      <w:u w:val="none"/>
    </w:rPr>
  </w:style>
  <w:style w:type="character" w:customStyle="1" w:styleId="29">
    <w:name w:val="font61"/>
    <w:basedOn w:val="15"/>
    <w:qFormat/>
    <w:uiPriority w:val="0"/>
    <w:rPr>
      <w:rFonts w:hint="eastAsia" w:ascii="宋体" w:hAnsi="宋体" w:eastAsia="宋体" w:cs="宋体"/>
      <w:color w:val="FF0000"/>
      <w:sz w:val="21"/>
      <w:szCs w:val="21"/>
      <w:u w:val="none"/>
    </w:rPr>
  </w:style>
  <w:style w:type="character" w:customStyle="1" w:styleId="30">
    <w:name w:val="font41"/>
    <w:basedOn w:val="15"/>
    <w:qFormat/>
    <w:uiPriority w:val="0"/>
    <w:rPr>
      <w:rFonts w:hint="default" w:ascii="Courier New" w:hAnsi="Courier New" w:cs="Courier New"/>
      <w:color w:val="FF0000"/>
      <w:sz w:val="21"/>
      <w:szCs w:val="21"/>
      <w:u w:val="none"/>
    </w:rPr>
  </w:style>
  <w:style w:type="character" w:customStyle="1" w:styleId="31">
    <w:name w:val="font111"/>
    <w:basedOn w:val="15"/>
    <w:qFormat/>
    <w:uiPriority w:val="0"/>
    <w:rPr>
      <w:rFonts w:hint="default" w:ascii="Courier New" w:hAnsi="Courier New" w:cs="Courier New"/>
      <w:color w:val="000000"/>
      <w:sz w:val="21"/>
      <w:szCs w:val="21"/>
      <w:u w:val="none"/>
    </w:rPr>
  </w:style>
  <w:style w:type="character" w:customStyle="1" w:styleId="32">
    <w:name w:val="font131"/>
    <w:basedOn w:val="15"/>
    <w:qFormat/>
    <w:uiPriority w:val="0"/>
    <w:rPr>
      <w:rFonts w:hint="eastAsia" w:ascii="宋体" w:hAnsi="宋体" w:eastAsia="宋体" w:cs="宋体"/>
      <w:color w:val="000000"/>
      <w:sz w:val="21"/>
      <w:szCs w:val="21"/>
      <w:u w:val="none"/>
    </w:rPr>
  </w:style>
  <w:style w:type="character" w:customStyle="1" w:styleId="33">
    <w:name w:val="font121"/>
    <w:basedOn w:val="15"/>
    <w:qFormat/>
    <w:uiPriority w:val="0"/>
    <w:rPr>
      <w:rFonts w:hint="eastAsia" w:ascii="宋体" w:hAnsi="宋体" w:eastAsia="宋体" w:cs="宋体"/>
      <w:color w:val="80008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3FAD5-BB47-405E-87C6-4D50E6A4432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89</Words>
  <Characters>510</Characters>
  <Lines>4</Lines>
  <Paragraphs>1</Paragraphs>
  <TotalTime>26</TotalTime>
  <ScaleCrop>false</ScaleCrop>
  <LinksUpToDate>false</LinksUpToDate>
  <CharactersWithSpaces>598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2018-04-27T11:12:00Z</dcterms:created>
  <dc:creator>微软用户</dc:creator>
  <cp:lastModifiedBy>Administrator</cp:lastModifiedBy>
  <dcterms:modified xsi:type="dcterms:W3CDTF">2018-07-12T11:01:40Z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