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4E98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№6</w:t>
      </w:r>
    </w:p>
    <w:p w:rsidR="00704E98" w:rsidRDefault="00704E98" w:rsidP="00704E98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Что такое типографика?</w:t>
      </w:r>
    </w:p>
    <w:p w:rsidR="00704E98" w:rsidRDefault="00704E98" w:rsidP="00704E9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E98">
        <w:rPr>
          <w:rFonts w:ascii="Times New Roman" w:hAnsi="Times New Roman" w:cs="Times New Roman"/>
          <w:b/>
          <w:sz w:val="28"/>
          <w:szCs w:val="28"/>
        </w:rPr>
        <w:t>Типографика</w:t>
      </w:r>
      <w:r w:rsidRPr="00704E98">
        <w:rPr>
          <w:rFonts w:ascii="Times New Roman" w:hAnsi="Times New Roman" w:cs="Times New Roman"/>
          <w:sz w:val="28"/>
          <w:szCs w:val="28"/>
        </w:rPr>
        <w:t> — это графическое оформление текста, 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704E98" w:rsidRPr="00704E98" w:rsidRDefault="00704E98" w:rsidP="00704E9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Что такое интерлиньяж?</w:t>
      </w:r>
    </w:p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Интерлиньяж – междустрочный интервал.</w:t>
      </w:r>
    </w:p>
    <w:p w:rsidR="00704E98" w:rsidRDefault="00704E98" w:rsidP="00704E98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Что такое цветовой круг?</w:t>
      </w:r>
    </w:p>
    <w:p w:rsidR="00704E98" w:rsidRDefault="00704E98" w:rsidP="00704E9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E98">
        <w:rPr>
          <w:rFonts w:ascii="Times New Roman" w:hAnsi="Times New Roman" w:cs="Times New Roman"/>
          <w:sz w:val="28"/>
          <w:szCs w:val="28"/>
        </w:rPr>
        <w:t xml:space="preserve">Цветовой круг — это круг, состоящий </w:t>
      </w:r>
      <w:proofErr w:type="gramStart"/>
      <w:r w:rsidRPr="00704E98">
        <w:rPr>
          <w:rFonts w:ascii="Times New Roman" w:hAnsi="Times New Roman" w:cs="Times New Roman"/>
          <w:sz w:val="28"/>
          <w:szCs w:val="28"/>
        </w:rPr>
        <w:t>из разных цветов</w:t>
      </w:r>
      <w:proofErr w:type="gramEnd"/>
      <w:r w:rsidRPr="00704E98">
        <w:rPr>
          <w:rFonts w:ascii="Times New Roman" w:hAnsi="Times New Roman" w:cs="Times New Roman"/>
          <w:sz w:val="28"/>
          <w:szCs w:val="28"/>
        </w:rPr>
        <w:t xml:space="preserve"> и помогает понять, как разные цвета соотносятся друг с другом и как их можно комбинировать. Обычно цветовой круг построен из первичных, вторичных и третичных цветов, которые называются оттенками.</w:t>
      </w:r>
    </w:p>
    <w:p w:rsidR="00704E98" w:rsidRPr="00704E98" w:rsidRDefault="00704E98" w:rsidP="00704E9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Какие есть цветовые схемы для работы с цветовым кругом?</w:t>
      </w:r>
    </w:p>
    <w:p w:rsidR="00704E98" w:rsidRPr="00704E98" w:rsidRDefault="00704E98" w:rsidP="00704E98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E98">
        <w:rPr>
          <w:rFonts w:ascii="Times New Roman" w:hAnsi="Times New Roman" w:cs="Times New Roman"/>
          <w:sz w:val="28"/>
          <w:szCs w:val="28"/>
        </w:rPr>
        <w:t>Монохроматическая схема. Монохроматическая цветовая схема основана на одном цвете с различными тонами и оттенками. Необходимо выбрать цвет, а затем подходить ближе к центру колеса, чтобы получить его оттенки. Пример монохроматической схемы представлен на рисунке 5.</w:t>
      </w:r>
    </w:p>
    <w:p w:rsidR="00704E98" w:rsidRPr="00870361" w:rsidRDefault="00704E98" w:rsidP="00704E9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1A9939" wp14:editId="52752A2C">
            <wp:extent cx="2339975" cy="950881"/>
            <wp:effectExtent l="0" t="0" r="3175" b="1905"/>
            <wp:docPr id="82" name="Рисунок 82" descr="https://ux.pub/images/c11RxYQJqQrP4FYWmzzdXWTz3IXTAwEpD9cbnM0S91I/w:880/mb:500000/ar:1/aHR0cHM6Ly9vbGQu/dXgucHViL3dwLWNv/bnRlbnQvdXBsb2Fk/cy8yMDIxLzA3LzEz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x.pub/images/c11RxYQJqQrP4FYWmzzdXWTz3IXTAwEpD9cbnM0S91I/w:880/mb:500000/ar:1/aHR0cHM6Ly9vbGQu/dXgucHViL3dwLWNv/bnRlbnQvdXBsb2Fk/cy8yMDIxLzA3LzEz/LmpwZW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64" cy="9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98" w:rsidRPr="00870361" w:rsidRDefault="00704E98" w:rsidP="00704E9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монохроматической схемы</w:t>
      </w:r>
    </w:p>
    <w:p w:rsidR="00704E98" w:rsidRPr="00870361" w:rsidRDefault="00704E98" w:rsidP="00704E98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Аналоговая схема. Необходимо выбирать цвета, которые находятся рядом друг от друга. Можно двигаться в любом направлении по цветовому кругу. Они должны располагаться под углом 90 градусов. Такой тип цветовой схемы используется для дизайна, где не требуется контраст. Пример аналоговой схемы представлен на рисунке 6.</w:t>
      </w:r>
    </w:p>
    <w:p w:rsidR="00704E98" w:rsidRPr="00870361" w:rsidRDefault="00704E98" w:rsidP="00704E9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3DFCD99" wp14:editId="6BDF4AD5">
            <wp:extent cx="3648456" cy="1482600"/>
            <wp:effectExtent l="0" t="0" r="0" b="3810"/>
            <wp:docPr id="83" name="Рисунок 83" descr="https://ux.pub/images/8tqutkLRUZM7fvcZC73BxYe6iaUDRfBeDQgy9G10Be4/w:880/mb:500000/ar:1/aHR0cHM6Ly9vbGQu/dXgucHViL3dwLWNv/bnRlbnQvdXBsb2Fk/cy8yMDIxLzA3LzE0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x.pub/images/8tqutkLRUZM7fvcZC73BxYe6iaUDRfBeDQgy9G10Be4/w:880/mb:500000/ar:1/aHR0cHM6Ly9vbGQu/dXgucHViL3dwLWNv/bnRlbnQvdXBsb2Fk/cy8yMDIxLzA3LzE0/LmpwZW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77" cy="14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аналоговой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Дополнительная/Расширенная схема (Комплиментарная). Расширенной схемой являются цвета, расположенные друг напротив друга на цветовом круге. Необходимо сначала выбрать основной цвет, а затем добавить к нему дополнительный цвет с противоположной стороны круга. Пример расширенной схемы представлен на рисунке 7.</w:t>
      </w:r>
    </w:p>
    <w:p w:rsidR="00704E98" w:rsidRDefault="00704E98" w:rsidP="00704E98">
      <w:pPr>
        <w:pStyle w:val="ListParagraph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46CF14" wp14:editId="67831C49">
            <wp:extent cx="2994870" cy="1214284"/>
            <wp:effectExtent l="0" t="0" r="0" b="5080"/>
            <wp:docPr id="84" name="Рисунок 84" descr="https://ux.pub/images/PVxUyDvvssLwfr_IhUBdMvyEwsfSEqnkq25ULX80JLI/w:880/mb:500000/ar:1/aHR0cHM6Ly9vbGQu/dXgucHViL3dwLWNv/bnRlbnQvdXBsb2Fk/cy8yMDIxLzA3LzE1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x.pub/images/PVxUyDvvssLwfr_IhUBdMvyEwsfSEqnkq25ULX80JLI/w:880/mb:500000/ar:1/aHR0cHM6Ly9vbGQu/dXgucHViL3dwLWNv/bnRlbnQvdXBsb2Fk/cy8yMDIxLzA3LzE1/LmpwZW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52" cy="12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98" w:rsidRPr="002E18A8" w:rsidRDefault="00704E98" w:rsidP="00704E98">
      <w:pPr>
        <w:pStyle w:val="ListParagraph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Сплит-расширенная схема или расщеплённые дополняющие цвета. Эта схема работает по аналогии с предыдущей, но использует больше цветов. Необходимо выбрать основной цвет, дополнительный цвет противоположный к нему, а также два цвета смежных с его противоположным цветом. Пример сплит-расширенной схемы представлен на рисунке 8.</w:t>
      </w:r>
    </w:p>
    <w:p w:rsidR="00704E98" w:rsidRDefault="00704E98" w:rsidP="00704E98">
      <w:pPr>
        <w:pStyle w:val="ListParagraph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BE11D9F" wp14:editId="763A3553">
            <wp:extent cx="2993385" cy="1216403"/>
            <wp:effectExtent l="0" t="0" r="0" b="3175"/>
            <wp:docPr id="85" name="Рисунок 85" descr="https://ux.pub/images/CJIDhtWGTw75bYgxxTR101rltvq4ie0prcXc5OcTrEU/w:880/mb:500000/ar:1/aHR0cHM6Ly9vbGQu/dXgucHViL3dwLWNv/bnRlbnQvdXBsb2Fk/cy8yMDIxLzA3LzE2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x.pub/images/CJIDhtWGTw75bYgxxTR101rltvq4ie0prcXc5OcTrEU/w:880/mb:500000/ar:1/aHR0cHM6Ly9vbGQu/dXgucHViL3dwLWNv/bnRlbnQvdXBsb2Fk/cy8yMDIxLzA3LzE2/LmpwZW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55" cy="12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98" w:rsidRPr="002E18A8" w:rsidRDefault="00704E98" w:rsidP="00704E98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сплит-расширенной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Триадическая схема. Основана на трёх отдельных цветах, которые равноудалены друг от друга на цветовом круге. При работе с этой схемой необходимо один цвет использовать как доминирующий, другие – как акценты. Пример триадической схемы представлен на рисунке 9.</w:t>
      </w:r>
    </w:p>
    <w:p w:rsidR="00704E98" w:rsidRPr="00870361" w:rsidRDefault="00704E98" w:rsidP="00704E98">
      <w:pPr>
        <w:pStyle w:val="ListParagraph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21CA5D1" wp14:editId="101215BA">
            <wp:extent cx="1915915" cy="1371600"/>
            <wp:effectExtent l="0" t="0" r="8255" b="0"/>
            <wp:docPr id="86" name="Рисунок 86" descr="https://recommendyou.ru/wp-content/uploads/2021/03/tr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commendyou.ru/wp-content/uploads/2021/03/triad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51" cy="137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98" w:rsidRPr="002E18A8" w:rsidRDefault="00704E98" w:rsidP="00704E98">
      <w:pPr>
        <w:pStyle w:val="ListParagraph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триадической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851"/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Четырёхцветная/Прямоугольная схема. Схема использует 4 цвета от круга, которые являются дополнительными парами. Если соединить выбранные цвета точками, то они образуют прямоугольник. Пример прямоугольной схемы представлен на рисунке 10.</w:t>
      </w:r>
    </w:p>
    <w:p w:rsidR="00704E98" w:rsidRPr="00704E98" w:rsidRDefault="00704E98" w:rsidP="00704E98">
      <w:pPr>
        <w:pStyle w:val="ListParagraph"/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F77755" wp14:editId="42A9C20F">
            <wp:extent cx="2944368" cy="1782740"/>
            <wp:effectExtent l="0" t="0" r="8890" b="8255"/>
            <wp:docPr id="87" name="Рисунок 87" descr="https://lavreniuk-design.com.ua/sites/default/files/Blog/untitled%20folder/square-wheel-colors.jpg.pagespeed.ce.LuKw4GIf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vreniuk-design.com.ua/sites/default/files/Blog/untitled%20folder/square-wheel-colors.jpg.pagespeed.ce.LuKw4GIfx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9"/>
                    <a:stretch/>
                  </pic:blipFill>
                  <pic:spPr bwMode="auto">
                    <a:xfrm>
                      <a:off x="0" y="0"/>
                      <a:ext cx="2953140" cy="17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E98" w:rsidRDefault="00704E98" w:rsidP="00704E98">
      <w:pPr>
        <w:pStyle w:val="ListParagraph"/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прямоугольной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Что такое паттерны сканирования?</w:t>
      </w:r>
    </w:p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04E98">
        <w:rPr>
          <w:rFonts w:ascii="Times New Roman" w:hAnsi="Times New Roman" w:cs="Times New Roman"/>
          <w:sz w:val="28"/>
          <w:szCs w:val="28"/>
        </w:rPr>
        <w:t xml:space="preserve">аттерны сканирования </w:t>
      </w:r>
      <w:proofErr w:type="gramStart"/>
      <w:r w:rsidRPr="00704E9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04E98">
        <w:rPr>
          <w:rFonts w:ascii="Times New Roman" w:hAnsi="Times New Roman" w:cs="Times New Roman"/>
          <w:sz w:val="28"/>
          <w:szCs w:val="28"/>
        </w:rPr>
        <w:t xml:space="preserve"> поведенческие шаблоны, используемые пользователями при просмотре веб-страницы или других видов контента. Они представляют собой типичные способы движения глаз пользователя при чтении или сканировании содержимого страницы.</w:t>
      </w:r>
    </w:p>
    <w:p w:rsidR="00704E98" w:rsidRDefault="00704E98" w:rsidP="00704E98">
      <w:pPr>
        <w:pStyle w:val="ListParagraph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t>Какие есть виды паттернов сканирования?</w:t>
      </w:r>
    </w:p>
    <w:p w:rsidR="00704E98" w:rsidRPr="00704E98" w:rsidRDefault="00704E98" w:rsidP="00704E9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E98">
        <w:rPr>
          <w:rFonts w:ascii="Times New Roman" w:hAnsi="Times New Roman" w:cs="Times New Roman"/>
          <w:sz w:val="28"/>
          <w:szCs w:val="28"/>
        </w:rPr>
        <w:t>F-образный паттерн сканирования: пользователь сканирует страницу, двигаясь по вертикальной линии слева направо</w:t>
      </w:r>
      <w:bookmarkStart w:id="0" w:name="_GoBack"/>
      <w:bookmarkEnd w:id="0"/>
      <w:r w:rsidRPr="00704E98">
        <w:rPr>
          <w:rFonts w:ascii="Times New Roman" w:hAnsi="Times New Roman" w:cs="Times New Roman"/>
          <w:sz w:val="28"/>
          <w:szCs w:val="28"/>
        </w:rPr>
        <w:t>. Этот паттерн часто используется на страницах с множеством текста.</w:t>
      </w:r>
    </w:p>
    <w:p w:rsidR="00704E98" w:rsidRPr="00704E98" w:rsidRDefault="00704E98" w:rsidP="00704E9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</w:rPr>
        <w:t>Z-образный паттерн сканирования: пользователь сканирует страницу, двигаясь по диагонали от верхнего левого угла к правому нижнему углу, затем переходя на верхнюю часть страницы, и двигаясь по диагонали от левого верхнего угла к правому нижнему углу. Этот паттерн обычно используется на страницах с изображениями или блоками контента, такими как заголовки и текст.</w:t>
      </w:r>
    </w:p>
    <w:p w:rsidR="00704E98" w:rsidRPr="00704E98" w:rsidRDefault="00704E98" w:rsidP="00704E98">
      <w:pPr>
        <w:pStyle w:val="ListParagraph"/>
        <w:numPr>
          <w:ilvl w:val="0"/>
          <w:numId w:val="3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04E9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Какие есть виды кнопок?</w:t>
      </w:r>
    </w:p>
    <w:p w:rsidR="00704E98" w:rsidRDefault="00704E98" w:rsidP="00704E98">
      <w:pPr>
        <w:pStyle w:val="ListParagraph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</w:t>
      </w:r>
      <w:r w:rsidRPr="00B73F97">
        <w:rPr>
          <w:rFonts w:ascii="Times New Roman" w:hAnsi="Times New Roman" w:cs="Times New Roman"/>
          <w:b/>
          <w:sz w:val="28"/>
          <w:szCs w:val="28"/>
        </w:rPr>
        <w:t>видов кнопок:</w:t>
      </w:r>
    </w:p>
    <w:p w:rsidR="00704E98" w:rsidRDefault="00704E98" w:rsidP="00704E98">
      <w:pPr>
        <w:pStyle w:val="ListParagraph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призыва к действию (</w:t>
      </w:r>
      <w:r>
        <w:rPr>
          <w:rFonts w:ascii="Times New Roman" w:hAnsi="Times New Roman" w:cs="Times New Roman"/>
          <w:sz w:val="28"/>
          <w:szCs w:val="28"/>
          <w:lang w:val="en-US"/>
        </w:rPr>
        <w:t>CTA</w:t>
      </w:r>
      <w:r>
        <w:rPr>
          <w:rFonts w:ascii="Times New Roman" w:hAnsi="Times New Roman" w:cs="Times New Roman"/>
          <w:sz w:val="28"/>
          <w:szCs w:val="28"/>
        </w:rPr>
        <w:t xml:space="preserve">). Такая кнопка должна побуждать пользователей к действию. Например, «Купить сейчас», «Зарегистрироваться», «Войти» и так далее. </w:t>
      </w:r>
    </w:p>
    <w:p w:rsidR="00704E98" w:rsidRDefault="00704E98" w:rsidP="00704E98">
      <w:pPr>
        <w:pStyle w:val="ListParagraph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первичного действия. Такие кнопки должна помогать пользователю взаимодействовать с продуктом. Например, «Начать», «Далее», «Назад» и так далее. </w:t>
      </w:r>
    </w:p>
    <w:p w:rsidR="00704E98" w:rsidRPr="00B82701" w:rsidRDefault="00704E98" w:rsidP="00704E98">
      <w:pPr>
        <w:pStyle w:val="ListParagraph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вторичного действия. Вторичные кнопки служат альтернативой кнопкам первичного действия или кнопкам призыва к действию, которое предоставляется пользователю. Например, кнопка «Отмена» возле кнопки «Заказать». </w:t>
      </w:r>
    </w:p>
    <w:p w:rsidR="00704E98" w:rsidRDefault="00704E98" w:rsidP="00704E98">
      <w:pPr>
        <w:pStyle w:val="ListParagraph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третичного действия. Такие кнопки могут использовать для разных действий. Такие действия важны, но могут не соответствовать тому, что пользователь хочет сделать в данный момент. Например, кнопка «Поделиться», «Фильтр» и так далее.</w:t>
      </w:r>
    </w:p>
    <w:p w:rsidR="00704E98" w:rsidRPr="003B02D8" w:rsidRDefault="00704E98" w:rsidP="00704E98">
      <w:pPr>
        <w:pStyle w:val="ListParagraph"/>
        <w:numPr>
          <w:ilvl w:val="0"/>
          <w:numId w:val="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Плавающие кнопки 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>
        <w:rPr>
          <w:rFonts w:ascii="Times New Roman" w:hAnsi="Times New Roman" w:cs="Times New Roman"/>
          <w:sz w:val="28"/>
          <w:szCs w:val="28"/>
        </w:rPr>
        <w:t xml:space="preserve">). Это кнопка со значком, могут использоваться для первичного действия. </w:t>
      </w:r>
    </w:p>
    <w:p w:rsidR="003F6B34" w:rsidRDefault="003F6B34"/>
    <w:sectPr w:rsidR="003F6B34" w:rsidSect="00704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DF9"/>
    <w:multiLevelType w:val="hybridMultilevel"/>
    <w:tmpl w:val="29589E2E"/>
    <w:lvl w:ilvl="0" w:tplc="8D0A3C2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5D7714"/>
    <w:multiLevelType w:val="hybridMultilevel"/>
    <w:tmpl w:val="419208D8"/>
    <w:lvl w:ilvl="0" w:tplc="85FC9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8"/>
    <w:rsid w:val="000374E0"/>
    <w:rsid w:val="003F6B34"/>
    <w:rsid w:val="00704E98"/>
    <w:rsid w:val="00B370DC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345A"/>
  <w15:chartTrackingRefBased/>
  <w15:docId w15:val="{5178CE5A-A546-47A2-80E2-AB726A9D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3455-AFA3-4E06-BB5E-A5F54AA7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2023-05-02T21:21:00Z</dcterms:created>
  <dcterms:modified xsi:type="dcterms:W3CDTF">2023-05-03T12:54:00Z</dcterms:modified>
</cp:coreProperties>
</file>