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1F4E79"/>
          <w:sz w:val="46"/>
        </w:rPr>
        <w:t>DATA LINEAGE REPORT</w:t>
      </w:r>
    </w:p>
    <w:p>
      <w:pPr>
        <w:jc w:val="center"/>
      </w:pPr>
      <w:r>
        <w:rPr>
          <w:b/>
          <w:sz w:val="26"/>
        </w:rPr>
        <w:t>UC20 — Enterprise Financial Data Platform</w:t>
      </w:r>
    </w:p>
    <w:p>
      <w:pPr>
        <w:jc w:val="center"/>
      </w:pPr>
      <w:r>
        <w:t>Prepared for project documentation  |  October 2026</w:t>
      </w:r>
    </w:p>
    <w:p>
      <w:pPr>
        <w:pStyle w:val="Heading1"/>
      </w:pPr>
      <w:r>
        <w:t>1. Overview</w:t>
      </w:r>
    </w:p>
    <w:p>
      <w:r>
        <w:t>The Enterprise Financial Data Platform (EFDP) brings SAP-derived financial and master data into PostgreSQL for profiling, cleaning, warehouse storage, and reporting. Data ingestion is handled in Pentaho Data Integration. Python and Pandas are used for data preparation, and the warehouse schema is defined in PostgreSQL.</w:t>
      </w:r>
    </w:p>
    <w:p>
      <w:r>
        <w:t>The source tables cover accounting document headers and line items, company codes, G/L accounts and their descriptions, cost centres and their descriptions, customers, vendors, and language codes. These are brought together in a star-schema design to support financial analysis.</w:t>
      </w:r>
    </w:p>
    <w:p>
      <w:pPr>
        <w:pStyle w:val="Heading1"/>
      </w:pPr>
      <w:r>
        <w:t>2. Data flow</w:t>
      </w:r>
    </w:p>
    <w:tbl>
      <w:tblPr>
        <w:tblStyle w:val="TableGrid"/>
        <w:tblW w:type="auto" w:w="0"/>
        <w:jc w:val="center"/>
        <w:tblLook w:firstColumn="1" w:firstRow="1" w:lastColumn="0" w:lastRow="0" w:noHBand="0" w:noVBand="1" w:val="04A0"/>
      </w:tblPr>
      <w:tblGrid>
        <w:gridCol w:w="10080"/>
      </w:tblGrid>
      <w:tr>
        <w:tc>
          <w:tcPr>
            <w:tcW w:type="dxa" w:w="10080"/>
            <w:vAlign w:val="center"/>
            <w:shd w:fill="EAF1F8"/>
          </w:tcPr>
          <w:p>
            <w:pPr>
              <w:spacing w:after="0"/>
            </w:pPr>
            <w:r/>
            <w:r>
              <w:rPr>
                <w:rFonts w:ascii="Arial" w:hAnsi="Arial"/>
                <w:b w:val="0"/>
                <w:sz w:val="18"/>
              </w:rPr>
              <w:t>SAP extracts</w:t>
              <w:br/>
              <w:t>CSV, XML, Excel and JSON</w:t>
            </w:r>
          </w:p>
        </w:tc>
      </w:tr>
    </w:tbl>
    <w:p>
      <w:pPr>
        <w:spacing w:after="20" w:before="0"/>
        <w:jc w:val="center"/>
      </w:pPr>
      <w:r>
        <w:rPr>
          <w:b/>
          <w:sz w:val="26"/>
        </w:rPr>
        <w:t>↓</w:t>
      </w:r>
    </w:p>
    <w:tbl>
      <w:tblPr>
        <w:tblStyle w:val="TableGrid"/>
        <w:tblW w:type="auto" w:w="0"/>
        <w:jc w:val="center"/>
        <w:tblLook w:firstColumn="1" w:firstRow="1" w:lastColumn="0" w:lastRow="0" w:noHBand="0" w:noVBand="1" w:val="04A0"/>
      </w:tblPr>
      <w:tblGrid>
        <w:gridCol w:w="10080"/>
      </w:tblGrid>
      <w:tr>
        <w:tc>
          <w:tcPr>
            <w:tcW w:type="dxa" w:w="10080"/>
            <w:vAlign w:val="center"/>
            <w:shd w:fill="F5F7FA"/>
          </w:tcPr>
          <w:p>
            <w:pPr>
              <w:spacing w:after="0"/>
            </w:pPr>
            <w:r/>
            <w:r>
              <w:rPr>
                <w:rFonts w:ascii="Arial" w:hAnsi="Arial"/>
                <w:b w:val="0"/>
                <w:sz w:val="18"/>
              </w:rPr>
              <w:t>Pentaho ingestion</w:t>
              <w:br/>
              <w:t>Read files; select and rename fields; adjust types; remove unused columns</w:t>
            </w:r>
          </w:p>
        </w:tc>
      </w:tr>
    </w:tbl>
    <w:p>
      <w:pPr>
        <w:spacing w:after="20" w:before="0"/>
        <w:jc w:val="center"/>
      </w:pPr>
      <w:r>
        <w:rPr>
          <w:b/>
          <w:sz w:val="26"/>
        </w:rPr>
        <w:t>↓</w:t>
      </w:r>
    </w:p>
    <w:tbl>
      <w:tblPr>
        <w:tblStyle w:val="TableGrid"/>
        <w:tblW w:type="auto" w:w="0"/>
        <w:jc w:val="center"/>
        <w:tblLook w:firstColumn="1" w:firstRow="1" w:lastColumn="0" w:lastRow="0" w:noHBand="0" w:noVBand="1" w:val="04A0"/>
      </w:tblPr>
      <w:tblGrid>
        <w:gridCol w:w="10080"/>
      </w:tblGrid>
      <w:tr>
        <w:tc>
          <w:tcPr>
            <w:tcW w:type="dxa" w:w="10080"/>
            <w:vAlign w:val="center"/>
            <w:shd w:fill="EAF1F8"/>
          </w:tcPr>
          <w:p>
            <w:pPr>
              <w:spacing w:after="0"/>
            </w:pPr>
            <w:r/>
            <w:r>
              <w:rPr>
                <w:rFonts w:ascii="Arial" w:hAnsi="Arial"/>
                <w:b/>
                <w:sz w:val="18"/>
              </w:rPr>
              <w:t>PostgreSQL staging</w:t>
              <w:br/>
              <w:t>public.stg_bkpf, stg_bseg, stg_csks, stg_cskt, stg_kna1, stg_lfa1, stg_ska1, stg_skat, stg_t001, stg_t002</w:t>
            </w:r>
          </w:p>
        </w:tc>
      </w:tr>
    </w:tbl>
    <w:p>
      <w:pPr>
        <w:spacing w:after="20" w:before="0"/>
        <w:jc w:val="center"/>
      </w:pPr>
      <w:r>
        <w:rPr>
          <w:b/>
          <w:sz w:val="26"/>
        </w:rPr>
        <w:t>↓</w:t>
      </w:r>
    </w:p>
    <w:tbl>
      <w:tblPr>
        <w:tblStyle w:val="TableGrid"/>
        <w:tblW w:type="auto" w:w="0"/>
        <w:jc w:val="center"/>
        <w:tblLook w:firstColumn="1" w:firstRow="1" w:lastColumn="0" w:lastRow="0" w:noHBand="0" w:noVBand="1" w:val="04A0"/>
      </w:tblPr>
      <w:tblGrid>
        <w:gridCol w:w="10080"/>
      </w:tblGrid>
      <w:tr>
        <w:tc>
          <w:tcPr>
            <w:tcW w:type="dxa" w:w="10080"/>
            <w:vAlign w:val="center"/>
            <w:shd w:fill="F5F7FA"/>
          </w:tcPr>
          <w:p>
            <w:pPr>
              <w:spacing w:after="0"/>
            </w:pPr>
            <w:r/>
            <w:r>
              <w:rPr>
                <w:rFonts w:ascii="Arial" w:hAnsi="Arial"/>
                <w:b w:val="0"/>
                <w:sz w:val="18"/>
              </w:rPr>
              <w:t>Python / Pandas</w:t>
              <w:br/>
              <w:t>Profile, validate, clean and standardise data</w:t>
            </w:r>
          </w:p>
        </w:tc>
      </w:tr>
    </w:tbl>
    <w:p>
      <w:pPr>
        <w:spacing w:after="20" w:before="0"/>
        <w:jc w:val="center"/>
      </w:pPr>
      <w:r>
        <w:rPr>
          <w:b/>
          <w:sz w:val="26"/>
        </w:rPr>
        <w:t>↓</w:t>
      </w:r>
    </w:p>
    <w:tbl>
      <w:tblPr>
        <w:tblStyle w:val="TableGrid"/>
        <w:tblW w:type="auto" w:w="0"/>
        <w:jc w:val="center"/>
        <w:tblLook w:firstColumn="1" w:firstRow="1" w:lastColumn="0" w:lastRow="0" w:noHBand="0" w:noVBand="1" w:val="04A0"/>
      </w:tblPr>
      <w:tblGrid>
        <w:gridCol w:w="10080"/>
      </w:tblGrid>
      <w:tr>
        <w:tc>
          <w:tcPr>
            <w:tcW w:type="dxa" w:w="10080"/>
            <w:vAlign w:val="center"/>
            <w:shd w:fill="EAF1F8"/>
          </w:tcPr>
          <w:p>
            <w:pPr>
              <w:spacing w:after="0"/>
            </w:pPr>
            <w:r/>
            <w:r>
              <w:rPr>
                <w:rFonts w:ascii="Arial" w:hAnsi="Arial"/>
                <w:b/>
                <w:sz w:val="18"/>
              </w:rPr>
              <w:t>PostgreSQL warehouse</w:t>
              <w:br/>
              <w:t>dwh dimensions and fact_accounting_line_item</w:t>
            </w:r>
          </w:p>
        </w:tc>
      </w:tr>
    </w:tbl>
    <w:p>
      <w:pPr>
        <w:spacing w:after="20" w:before="0"/>
        <w:jc w:val="center"/>
      </w:pPr>
      <w:r>
        <w:rPr>
          <w:b/>
          <w:sz w:val="26"/>
        </w:rPr>
        <w:t>↓</w:t>
      </w:r>
    </w:p>
    <w:tbl>
      <w:tblPr>
        <w:tblStyle w:val="TableGrid"/>
        <w:tblW w:type="auto" w:w="0"/>
        <w:jc w:val="center"/>
        <w:tblLook w:firstColumn="1" w:firstRow="1" w:lastColumn="0" w:lastRow="0" w:noHBand="0" w:noVBand="1" w:val="04A0"/>
      </w:tblPr>
      <w:tblGrid>
        <w:gridCol w:w="10080"/>
      </w:tblGrid>
      <w:tr>
        <w:tc>
          <w:tcPr>
            <w:tcW w:type="dxa" w:w="10080"/>
            <w:vAlign w:val="center"/>
            <w:shd w:fill="F5F7FA"/>
          </w:tcPr>
          <w:p>
            <w:pPr>
              <w:spacing w:after="0"/>
            </w:pPr>
            <w:r/>
            <w:r>
              <w:rPr>
                <w:rFonts w:ascii="Arial" w:hAnsi="Arial"/>
                <w:b w:val="0"/>
                <w:sz w:val="18"/>
              </w:rPr>
              <w:t>Reporting</w:t>
              <w:br/>
              <w:t>SQL queries and Power BI</w:t>
            </w:r>
          </w:p>
        </w:tc>
      </w:tr>
    </w:tbl>
    <w:p>
      <w:r>
        <w:t>The Pentaho ingestion transformation is stored in Sprint1_Data_Ingestion.ktr. The database connection used by the Table Output steps is named LTI_project, and the targets are in the public schema.</w:t>
      </w:r>
    </w:p>
    <w:p>
      <w:pPr>
        <w:pStyle w:val="Heading1"/>
      </w:pPr>
      <w:r>
        <w:t>3. Source-to-staging mapping</w:t>
      </w:r>
    </w:p>
    <w:p>
      <w:r>
        <w:t>The ingestion transformation has 10 Table Output steps, one for each staging table. Each branch reads its source, applies the configured field selection and metadata changes, and writes the resulting rows to PostgreSQL.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CE6F1"/>
          </w:tcPr>
          <w:p>
            <w:pPr>
              <w:spacing w:after="0"/>
            </w:pPr>
            <w:r/>
            <w:r>
              <w:rPr>
                <w:rFonts w:ascii="Arial" w:hAnsi="Arial"/>
                <w:b/>
                <w:sz w:val="15"/>
              </w:rPr>
              <w:t>Source</w:t>
            </w:r>
          </w:p>
        </w:tc>
        <w:tc>
          <w:tcPr>
            <w:tcW w:type="dxa" w:w="2088"/>
            <w:vAlign w:val="center"/>
            <w:shd w:fill="DCE6F1"/>
          </w:tcPr>
          <w:p>
            <w:pPr>
              <w:spacing w:after="0"/>
            </w:pPr>
            <w:r/>
            <w:r>
              <w:rPr>
                <w:rFonts w:ascii="Arial" w:hAnsi="Arial"/>
                <w:b/>
                <w:sz w:val="15"/>
              </w:rPr>
              <w:t>Pentaho input</w:t>
            </w:r>
          </w:p>
        </w:tc>
        <w:tc>
          <w:tcPr>
            <w:tcW w:type="dxa" w:w="2088"/>
            <w:vAlign w:val="center"/>
            <w:shd w:fill="DCE6F1"/>
          </w:tcPr>
          <w:p>
            <w:pPr>
              <w:spacing w:after="0"/>
            </w:pPr>
            <w:r/>
            <w:r>
              <w:rPr>
                <w:rFonts w:ascii="Arial" w:hAnsi="Arial"/>
                <w:b/>
                <w:sz w:val="15"/>
              </w:rPr>
              <w:t>Staging target</w:t>
            </w:r>
          </w:p>
        </w:tc>
        <w:tc>
          <w:tcPr>
            <w:tcW w:type="dxa" w:w="4608"/>
            <w:vAlign w:val="center"/>
            <w:shd w:fill="DCE6F1"/>
          </w:tcPr>
          <w:p>
            <w:pPr>
              <w:spacing w:after="0"/>
            </w:pPr>
            <w:r/>
            <w:r>
              <w:rPr>
                <w:rFonts w:ascii="Arial" w:hAnsi="Arial"/>
                <w:b/>
                <w:sz w:val="15"/>
              </w:rPr>
              <w:t>Processing</w:t>
            </w:r>
          </w:p>
        </w:tc>
      </w:tr>
      <w:tr>
        <w:tc>
          <w:tcPr>
            <w:tcW w:type="dxa" w:w="1728"/>
            <w:vAlign w:val="center"/>
          </w:tcPr>
          <w:p>
            <w:pPr>
              <w:spacing w:after="0"/>
            </w:pPr>
            <w:r/>
            <w:r>
              <w:rPr>
                <w:rFonts w:ascii="Arial" w:hAnsi="Arial"/>
                <w:b w:val="0"/>
                <w:sz w:val="15"/>
              </w:rPr>
              <w:t>bkpf.csv</w:t>
            </w:r>
          </w:p>
        </w:tc>
        <w:tc>
          <w:tcPr>
            <w:tcW w:type="dxa" w:w="2088"/>
            <w:vAlign w:val="center"/>
          </w:tcPr>
          <w:p>
            <w:pPr>
              <w:spacing w:after="0"/>
            </w:pPr>
            <w:r/>
            <w:r>
              <w:rPr>
                <w:rFonts w:ascii="Arial" w:hAnsi="Arial"/>
                <w:b w:val="0"/>
                <w:sz w:val="15"/>
              </w:rPr>
              <w:t>CSV File Input</w:t>
            </w:r>
          </w:p>
        </w:tc>
        <w:tc>
          <w:tcPr>
            <w:tcW w:type="dxa" w:w="2088"/>
            <w:vAlign w:val="center"/>
          </w:tcPr>
          <w:p>
            <w:pPr>
              <w:spacing w:after="0"/>
            </w:pPr>
            <w:r/>
            <w:r>
              <w:rPr>
                <w:rFonts w:ascii="Arial" w:hAnsi="Arial"/>
                <w:b w:val="0"/>
                <w:sz w:val="15"/>
              </w:rPr>
              <w:t>public.stg_bkpf</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bseg.csv</w:t>
            </w:r>
          </w:p>
        </w:tc>
        <w:tc>
          <w:tcPr>
            <w:tcW w:type="dxa" w:w="2088"/>
            <w:vAlign w:val="center"/>
          </w:tcPr>
          <w:p>
            <w:pPr>
              <w:spacing w:after="0"/>
            </w:pPr>
            <w:r/>
            <w:r>
              <w:rPr>
                <w:rFonts w:ascii="Arial" w:hAnsi="Arial"/>
                <w:b w:val="0"/>
                <w:sz w:val="15"/>
              </w:rPr>
              <w:t>CSV File Input 2</w:t>
            </w:r>
          </w:p>
        </w:tc>
        <w:tc>
          <w:tcPr>
            <w:tcW w:type="dxa" w:w="2088"/>
            <w:vAlign w:val="center"/>
          </w:tcPr>
          <w:p>
            <w:pPr>
              <w:spacing w:after="0"/>
            </w:pPr>
            <w:r/>
            <w:r>
              <w:rPr>
                <w:rFonts w:ascii="Arial" w:hAnsi="Arial"/>
                <w:b w:val="0"/>
                <w:sz w:val="15"/>
              </w:rPr>
              <w:t>public.stg_bseg</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csks.csv</w:t>
            </w:r>
          </w:p>
        </w:tc>
        <w:tc>
          <w:tcPr>
            <w:tcW w:type="dxa" w:w="2088"/>
            <w:vAlign w:val="center"/>
          </w:tcPr>
          <w:p>
            <w:pPr>
              <w:spacing w:after="0"/>
            </w:pPr>
            <w:r/>
            <w:r>
              <w:rPr>
                <w:rFonts w:ascii="Arial" w:hAnsi="Arial"/>
                <w:b w:val="0"/>
                <w:sz w:val="15"/>
              </w:rPr>
              <w:t>CSV File Input 3</w:t>
            </w:r>
          </w:p>
        </w:tc>
        <w:tc>
          <w:tcPr>
            <w:tcW w:type="dxa" w:w="2088"/>
            <w:vAlign w:val="center"/>
          </w:tcPr>
          <w:p>
            <w:pPr>
              <w:spacing w:after="0"/>
            </w:pPr>
            <w:r/>
            <w:r>
              <w:rPr>
                <w:rFonts w:ascii="Arial" w:hAnsi="Arial"/>
                <w:b w:val="0"/>
                <w:sz w:val="15"/>
              </w:rPr>
              <w:t>public.stg_csks</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cskt.csv</w:t>
            </w:r>
          </w:p>
        </w:tc>
        <w:tc>
          <w:tcPr>
            <w:tcW w:type="dxa" w:w="2088"/>
            <w:vAlign w:val="center"/>
          </w:tcPr>
          <w:p>
            <w:pPr>
              <w:spacing w:after="0"/>
            </w:pPr>
            <w:r/>
            <w:r>
              <w:rPr>
                <w:rFonts w:ascii="Arial" w:hAnsi="Arial"/>
                <w:b w:val="0"/>
                <w:sz w:val="15"/>
              </w:rPr>
              <w:t>CSV File Input 4</w:t>
            </w:r>
          </w:p>
        </w:tc>
        <w:tc>
          <w:tcPr>
            <w:tcW w:type="dxa" w:w="2088"/>
            <w:vAlign w:val="center"/>
          </w:tcPr>
          <w:p>
            <w:pPr>
              <w:spacing w:after="0"/>
            </w:pPr>
            <w:r/>
            <w:r>
              <w:rPr>
                <w:rFonts w:ascii="Arial" w:hAnsi="Arial"/>
                <w:b w:val="0"/>
                <w:sz w:val="15"/>
              </w:rPr>
              <w:t>public.stg_cskt</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kna1.csv</w:t>
            </w:r>
          </w:p>
        </w:tc>
        <w:tc>
          <w:tcPr>
            <w:tcW w:type="dxa" w:w="2088"/>
            <w:vAlign w:val="center"/>
          </w:tcPr>
          <w:p>
            <w:pPr>
              <w:spacing w:after="0"/>
            </w:pPr>
            <w:r/>
            <w:r>
              <w:rPr>
                <w:rFonts w:ascii="Arial" w:hAnsi="Arial"/>
                <w:b w:val="0"/>
                <w:sz w:val="15"/>
              </w:rPr>
              <w:t>CSV File Input 5</w:t>
            </w:r>
          </w:p>
        </w:tc>
        <w:tc>
          <w:tcPr>
            <w:tcW w:type="dxa" w:w="2088"/>
            <w:vAlign w:val="center"/>
          </w:tcPr>
          <w:p>
            <w:pPr>
              <w:spacing w:after="0"/>
            </w:pPr>
            <w:r/>
            <w:r>
              <w:rPr>
                <w:rFonts w:ascii="Arial" w:hAnsi="Arial"/>
                <w:b w:val="0"/>
                <w:sz w:val="15"/>
              </w:rPr>
              <w:t>public.stg_kna1</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lfa1.csv</w:t>
            </w:r>
          </w:p>
        </w:tc>
        <w:tc>
          <w:tcPr>
            <w:tcW w:type="dxa" w:w="2088"/>
            <w:vAlign w:val="center"/>
          </w:tcPr>
          <w:p>
            <w:pPr>
              <w:spacing w:after="0"/>
            </w:pPr>
            <w:r/>
            <w:r>
              <w:rPr>
                <w:rFonts w:ascii="Arial" w:hAnsi="Arial"/>
                <w:b w:val="0"/>
                <w:sz w:val="15"/>
              </w:rPr>
              <w:t>CSV File Input 6</w:t>
            </w:r>
          </w:p>
        </w:tc>
        <w:tc>
          <w:tcPr>
            <w:tcW w:type="dxa" w:w="2088"/>
            <w:vAlign w:val="center"/>
          </w:tcPr>
          <w:p>
            <w:pPr>
              <w:spacing w:after="0"/>
            </w:pPr>
            <w:r/>
            <w:r>
              <w:rPr>
                <w:rFonts w:ascii="Arial" w:hAnsi="Arial"/>
                <w:b w:val="0"/>
                <w:sz w:val="15"/>
              </w:rPr>
              <w:t>public.stg_lfa1</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t001.csv</w:t>
            </w:r>
          </w:p>
        </w:tc>
        <w:tc>
          <w:tcPr>
            <w:tcW w:type="dxa" w:w="2088"/>
            <w:vAlign w:val="center"/>
          </w:tcPr>
          <w:p>
            <w:pPr>
              <w:spacing w:after="0"/>
            </w:pPr>
            <w:r/>
            <w:r>
              <w:rPr>
                <w:rFonts w:ascii="Arial" w:hAnsi="Arial"/>
                <w:b w:val="0"/>
                <w:sz w:val="15"/>
              </w:rPr>
              <w:t>CSV File Input 7</w:t>
            </w:r>
          </w:p>
        </w:tc>
        <w:tc>
          <w:tcPr>
            <w:tcW w:type="dxa" w:w="2088"/>
            <w:vAlign w:val="center"/>
          </w:tcPr>
          <w:p>
            <w:pPr>
              <w:spacing w:after="0"/>
            </w:pPr>
            <w:r/>
            <w:r>
              <w:rPr>
                <w:rFonts w:ascii="Arial" w:hAnsi="Arial"/>
                <w:b w:val="0"/>
                <w:sz w:val="15"/>
              </w:rPr>
              <w:t>public.stg_t001</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t002.xls</w:t>
            </w:r>
          </w:p>
        </w:tc>
        <w:tc>
          <w:tcPr>
            <w:tcW w:type="dxa" w:w="2088"/>
            <w:vAlign w:val="center"/>
          </w:tcPr>
          <w:p>
            <w:pPr>
              <w:spacing w:after="0"/>
            </w:pPr>
            <w:r/>
            <w:r>
              <w:rPr>
                <w:rFonts w:ascii="Arial" w:hAnsi="Arial"/>
                <w:b w:val="0"/>
                <w:sz w:val="15"/>
              </w:rPr>
              <w:t>Microsoft Excel Input</w:t>
            </w:r>
          </w:p>
        </w:tc>
        <w:tc>
          <w:tcPr>
            <w:tcW w:type="dxa" w:w="2088"/>
            <w:vAlign w:val="center"/>
          </w:tcPr>
          <w:p>
            <w:pPr>
              <w:spacing w:after="0"/>
            </w:pPr>
            <w:r/>
            <w:r>
              <w:rPr>
                <w:rFonts w:ascii="Arial" w:hAnsi="Arial"/>
                <w:b w:val="0"/>
                <w:sz w:val="15"/>
              </w:rPr>
              <w:t>public.stg_t002</w:t>
            </w:r>
          </w:p>
        </w:tc>
        <w:tc>
          <w:tcPr>
            <w:tcW w:type="dxa" w:w="4608"/>
            <w:vAlign w:val="center"/>
          </w:tcPr>
          <w:p>
            <w:pPr>
              <w:spacing w:after="0"/>
            </w:pPr>
            <w:r/>
            <w:r>
              <w:rPr>
                <w:rFonts w:ascii="Arial" w:hAnsi="Arial"/>
                <w:b w:val="0"/>
                <w:sz w:val="15"/>
              </w:rPr>
              <w:t>Select Values; rename fields, set types where needed, remove unused fields</w:t>
            </w:r>
          </w:p>
        </w:tc>
      </w:tr>
      <w:tr>
        <w:tc>
          <w:tcPr>
            <w:tcW w:type="dxa" w:w="1728"/>
            <w:vAlign w:val="center"/>
          </w:tcPr>
          <w:p>
            <w:pPr>
              <w:spacing w:after="0"/>
            </w:pPr>
            <w:r/>
            <w:r>
              <w:rPr>
                <w:rFonts w:ascii="Arial" w:hAnsi="Arial"/>
                <w:b w:val="0"/>
                <w:sz w:val="15"/>
              </w:rPr>
              <w:t>skat.xml</w:t>
            </w:r>
          </w:p>
        </w:tc>
        <w:tc>
          <w:tcPr>
            <w:tcW w:type="dxa" w:w="2088"/>
            <w:vAlign w:val="center"/>
          </w:tcPr>
          <w:p>
            <w:pPr>
              <w:spacing w:after="0"/>
            </w:pPr>
            <w:r/>
            <w:r>
              <w:rPr>
                <w:rFonts w:ascii="Arial" w:hAnsi="Arial"/>
                <w:b w:val="0"/>
                <w:sz w:val="15"/>
              </w:rPr>
              <w:t>XML Input Stream (StAX)</w:t>
            </w:r>
          </w:p>
        </w:tc>
        <w:tc>
          <w:tcPr>
            <w:tcW w:type="dxa" w:w="2088"/>
            <w:vAlign w:val="center"/>
          </w:tcPr>
          <w:p>
            <w:pPr>
              <w:spacing w:after="0"/>
            </w:pPr>
            <w:r/>
            <w:r>
              <w:rPr>
                <w:rFonts w:ascii="Arial" w:hAnsi="Arial"/>
                <w:b w:val="0"/>
                <w:sz w:val="15"/>
              </w:rPr>
              <w:t>public.stg_skat</w:t>
            </w:r>
          </w:p>
        </w:tc>
        <w:tc>
          <w:tcPr>
            <w:tcW w:type="dxa" w:w="4608"/>
            <w:vAlign w:val="center"/>
          </w:tcPr>
          <w:p>
            <w:pPr>
              <w:spacing w:after="0"/>
            </w:pPr>
            <w:r/>
            <w:r>
              <w:rPr>
                <w:rFonts w:ascii="Arial" w:hAnsi="Arial"/>
                <w:b w:val="0"/>
                <w:sz w:val="15"/>
              </w:rPr>
              <w:t>Filter Rows → Sort Rows → Row Denormaliser → Select Values → Value Mapper</w:t>
            </w:r>
          </w:p>
        </w:tc>
      </w:tr>
      <w:tr>
        <w:tc>
          <w:tcPr>
            <w:tcW w:type="dxa" w:w="1728"/>
            <w:vAlign w:val="center"/>
          </w:tcPr>
          <w:p>
            <w:pPr>
              <w:spacing w:after="0"/>
            </w:pPr>
            <w:r/>
            <w:r>
              <w:rPr>
                <w:rFonts w:ascii="Arial" w:hAnsi="Arial"/>
                <w:b w:val="0"/>
                <w:sz w:val="15"/>
              </w:rPr>
              <w:t>JSON input</w:t>
            </w:r>
          </w:p>
        </w:tc>
        <w:tc>
          <w:tcPr>
            <w:tcW w:type="dxa" w:w="2088"/>
            <w:vAlign w:val="center"/>
          </w:tcPr>
          <w:p>
            <w:pPr>
              <w:spacing w:after="0"/>
            </w:pPr>
            <w:r/>
            <w:r>
              <w:rPr>
                <w:rFonts w:ascii="Arial" w:hAnsi="Arial"/>
                <w:b w:val="0"/>
                <w:sz w:val="15"/>
              </w:rPr>
              <w:t>JSON Input</w:t>
            </w:r>
          </w:p>
        </w:tc>
        <w:tc>
          <w:tcPr>
            <w:tcW w:type="dxa" w:w="2088"/>
            <w:vAlign w:val="center"/>
          </w:tcPr>
          <w:p>
            <w:pPr>
              <w:spacing w:after="0"/>
            </w:pPr>
            <w:r/>
            <w:r>
              <w:rPr>
                <w:rFonts w:ascii="Arial" w:hAnsi="Arial"/>
                <w:b w:val="0"/>
                <w:sz w:val="15"/>
              </w:rPr>
              <w:t>public.stg_ska1</w:t>
            </w:r>
          </w:p>
        </w:tc>
        <w:tc>
          <w:tcPr>
            <w:tcW w:type="dxa" w:w="4608"/>
            <w:vAlign w:val="center"/>
          </w:tcPr>
          <w:p>
            <w:pPr>
              <w:spacing w:after="0"/>
            </w:pPr>
            <w:r/>
            <w:r>
              <w:rPr>
                <w:rFonts w:ascii="Arial" w:hAnsi="Arial"/>
                <w:b w:val="0"/>
                <w:sz w:val="15"/>
              </w:rPr>
              <w:t>Select Values; exact configured JSON source path should be checked in Spoon</w:t>
            </w:r>
          </w:p>
        </w:tc>
      </w:tr>
    </w:tbl>
    <w:p>
      <w:pPr>
        <w:spacing w:after="20"/>
      </w:pPr>
    </w:p>
    <w:p>
      <w:pPr>
        <w:pStyle w:val="Heading1"/>
      </w:pPr>
      <w:r>
        <w:t>4. Ingestion details</w:t>
      </w:r>
    </w:p>
    <w:p>
      <w:r>
        <w:t>The Select Values steps are used across the ingestion flows to standardise the incoming structure. Depending on the table, this includes renaming columns, changing data types, and excluding fields that are not required downstream. The precise field-by-field rename and type settings are maintained in the individual step configurations.</w:t>
      </w:r>
    </w:p>
    <w:p>
      <w:r>
        <w:t>The SKAT XML flow has extra steps before the output: rows are filtered and sorted, row values are denormalised, selected fields are renamed or typed, and values are mapped before loading to stg_skat. The JSON branch loads to stg_ska1. The Excel input loads to stg_t002.</w:t>
      </w:r>
    </w:p>
    <w:p>
      <w:r>
        <w:t>All 10 Table Output steps are configured with truncate enabled and a commit size of 1,000. A rerun therefore clears the relevant staging table before inserting the new data. The KTR also uses absolute Windows file paths under D:\Data Engineering\Pentaho\EFDP\datasets\SAP, so those paths need to exist on the machine running Spoon.</w:t>
      </w:r>
    </w:p>
    <w:p>
      <w:pPr>
        <w:pStyle w:val="Heading1"/>
      </w:pPr>
      <w:r>
        <w:t>5. Cleaning and warehouse loading</w:t>
      </w:r>
    </w:p>
    <w:p>
      <w:r>
        <w:t>After ingestion, the staging tables are used for profiling and cleaning with Python and Pandas. The cleaning work addresses issues found in the source data and prepares the fields for warehouse use. The supplied universal cleaning notebook is configurable; the settings and rules used in the final run should be maintained with the project evidence.</w:t>
      </w:r>
    </w:p>
    <w:p>
      <w:r>
        <w:t>The warehouse schema is defined in starSchema.sql under the dwh schema. According to the project workflow, the cleaned data is loaded into PostgreSQL using Python. The warehouse load connects the cleaned staging-derived data to the fact and dimension tables. The following section lists the target tables defined by the schema.</w:t>
      </w:r>
    </w:p>
    <w:p>
      <w:pPr>
        <w:pStyle w:val="Heading1"/>
      </w:pPr>
      <w:r>
        <w:t>6. Warehouse tables</w:t>
      </w:r>
    </w:p>
    <w:tbl>
      <w:tblPr>
        <w:tblStyle w:val="TableGrid"/>
        <w:tblW w:type="auto" w:w="0"/>
        <w:jc w:val="center"/>
        <w:tblLook w:firstColumn="1" w:firstRow="1" w:lastColumn="0" w:lastRow="0" w:noHBand="0" w:noVBand="1" w:val="04A0"/>
      </w:tblPr>
      <w:tblGrid>
        <w:gridCol w:w="5040"/>
        <w:gridCol w:w="5040"/>
      </w:tblGrid>
      <w:tr>
        <w:tc>
          <w:tcPr>
            <w:tcW w:type="dxa" w:w="3240"/>
            <w:vAlign w:val="center"/>
            <w:shd w:fill="DCE6F1"/>
          </w:tcPr>
          <w:p>
            <w:pPr>
              <w:spacing w:after="0"/>
            </w:pPr>
            <w:r/>
            <w:r>
              <w:rPr>
                <w:rFonts w:ascii="Arial" w:hAnsi="Arial"/>
                <w:b/>
                <w:sz w:val="16"/>
              </w:rPr>
              <w:t>Table</w:t>
            </w:r>
          </w:p>
        </w:tc>
        <w:tc>
          <w:tcPr>
            <w:tcW w:type="dxa" w:w="7272"/>
            <w:vAlign w:val="center"/>
            <w:shd w:fill="DCE6F1"/>
          </w:tcPr>
          <w:p>
            <w:pPr>
              <w:spacing w:after="0"/>
            </w:pPr>
            <w:r/>
            <w:r>
              <w:rPr>
                <w:rFonts w:ascii="Arial" w:hAnsi="Arial"/>
                <w:b/>
                <w:sz w:val="16"/>
              </w:rPr>
              <w:t>Role in the warehouse</w:t>
            </w:r>
          </w:p>
        </w:tc>
      </w:tr>
      <w:tr>
        <w:tc>
          <w:tcPr>
            <w:tcW w:type="dxa" w:w="3240"/>
            <w:vAlign w:val="center"/>
          </w:tcPr>
          <w:p>
            <w:pPr>
              <w:spacing w:after="0"/>
            </w:pPr>
            <w:r/>
            <w:r>
              <w:rPr>
                <w:rFonts w:ascii="Arial" w:hAnsi="Arial"/>
                <w:b w:val="0"/>
                <w:sz w:val="16"/>
              </w:rPr>
              <w:t>dim_date</w:t>
            </w:r>
          </w:p>
        </w:tc>
        <w:tc>
          <w:tcPr>
            <w:tcW w:type="dxa" w:w="7272"/>
            <w:vAlign w:val="center"/>
          </w:tcPr>
          <w:p>
            <w:pPr>
              <w:spacing w:after="0"/>
            </w:pPr>
            <w:r/>
            <w:r>
              <w:rPr>
                <w:rFonts w:ascii="Arial" w:hAnsi="Arial"/>
                <w:b w:val="0"/>
                <w:sz w:val="16"/>
              </w:rPr>
              <w:t>Calendar date attributes used to analyse financial events by day, month, quarter and year.</w:t>
            </w:r>
          </w:p>
        </w:tc>
      </w:tr>
      <w:tr>
        <w:tc>
          <w:tcPr>
            <w:tcW w:type="dxa" w:w="3240"/>
            <w:vAlign w:val="center"/>
          </w:tcPr>
          <w:p>
            <w:pPr>
              <w:spacing w:after="0"/>
            </w:pPr>
            <w:r/>
            <w:r>
              <w:rPr>
                <w:rFonts w:ascii="Arial" w:hAnsi="Arial"/>
                <w:b w:val="0"/>
                <w:sz w:val="16"/>
              </w:rPr>
              <w:t>dim_language</w:t>
            </w:r>
          </w:p>
        </w:tc>
        <w:tc>
          <w:tcPr>
            <w:tcW w:type="dxa" w:w="7272"/>
            <w:vAlign w:val="center"/>
          </w:tcPr>
          <w:p>
            <w:pPr>
              <w:spacing w:after="0"/>
            </w:pPr>
            <w:r/>
            <w:r>
              <w:rPr>
                <w:rFonts w:ascii="Arial" w:hAnsi="Arial"/>
                <w:b w:val="0"/>
                <w:sz w:val="16"/>
              </w:rPr>
              <w:t>SAP language codes and language metadata.</w:t>
            </w:r>
          </w:p>
        </w:tc>
      </w:tr>
      <w:tr>
        <w:tc>
          <w:tcPr>
            <w:tcW w:type="dxa" w:w="3240"/>
            <w:vAlign w:val="center"/>
          </w:tcPr>
          <w:p>
            <w:pPr>
              <w:spacing w:after="0"/>
            </w:pPr>
            <w:r/>
            <w:r>
              <w:rPr>
                <w:rFonts w:ascii="Arial" w:hAnsi="Arial"/>
                <w:b w:val="0"/>
                <w:sz w:val="16"/>
              </w:rPr>
              <w:t>dim_company_code</w:t>
            </w:r>
          </w:p>
        </w:tc>
        <w:tc>
          <w:tcPr>
            <w:tcW w:type="dxa" w:w="7272"/>
            <w:vAlign w:val="center"/>
          </w:tcPr>
          <w:p>
            <w:pPr>
              <w:spacing w:after="0"/>
            </w:pPr>
            <w:r/>
            <w:r>
              <w:rPr>
                <w:rFonts w:ascii="Arial" w:hAnsi="Arial"/>
                <w:b w:val="0"/>
                <w:sz w:val="16"/>
              </w:rPr>
              <w:t>Company code, company name, country, currency and related organisational fields.</w:t>
            </w:r>
          </w:p>
        </w:tc>
      </w:tr>
      <w:tr>
        <w:tc>
          <w:tcPr>
            <w:tcW w:type="dxa" w:w="3240"/>
            <w:vAlign w:val="center"/>
          </w:tcPr>
          <w:p>
            <w:pPr>
              <w:spacing w:after="0"/>
            </w:pPr>
            <w:r/>
            <w:r>
              <w:rPr>
                <w:rFonts w:ascii="Arial" w:hAnsi="Arial"/>
                <w:b w:val="0"/>
                <w:sz w:val="16"/>
              </w:rPr>
              <w:t>dim_gl_account</w:t>
            </w:r>
          </w:p>
        </w:tc>
        <w:tc>
          <w:tcPr>
            <w:tcW w:type="dxa" w:w="7272"/>
            <w:vAlign w:val="center"/>
          </w:tcPr>
          <w:p>
            <w:pPr>
              <w:spacing w:after="0"/>
            </w:pPr>
            <w:r/>
            <w:r>
              <w:rPr>
                <w:rFonts w:ascii="Arial" w:hAnsi="Arial"/>
                <w:b w:val="0"/>
                <w:sz w:val="16"/>
              </w:rPr>
              <w:t>G/L account identifiers, account attributes and language-dependent descriptions.</w:t>
            </w:r>
          </w:p>
        </w:tc>
      </w:tr>
      <w:tr>
        <w:tc>
          <w:tcPr>
            <w:tcW w:type="dxa" w:w="3240"/>
            <w:vAlign w:val="center"/>
          </w:tcPr>
          <w:p>
            <w:pPr>
              <w:spacing w:after="0"/>
            </w:pPr>
            <w:r/>
            <w:r>
              <w:rPr>
                <w:rFonts w:ascii="Arial" w:hAnsi="Arial"/>
                <w:b w:val="0"/>
                <w:sz w:val="16"/>
              </w:rPr>
              <w:t>dim_cost_center</w:t>
            </w:r>
          </w:p>
        </w:tc>
        <w:tc>
          <w:tcPr>
            <w:tcW w:type="dxa" w:w="7272"/>
            <w:vAlign w:val="center"/>
          </w:tcPr>
          <w:p>
            <w:pPr>
              <w:spacing w:after="0"/>
            </w:pPr>
            <w:r/>
            <w:r>
              <w:rPr>
                <w:rFonts w:ascii="Arial" w:hAnsi="Arial"/>
                <w:b w:val="0"/>
                <w:sz w:val="16"/>
              </w:rPr>
              <w:t>Cost centre identifiers, validity dates, organisational attributes and descriptions.</w:t>
            </w:r>
          </w:p>
        </w:tc>
      </w:tr>
      <w:tr>
        <w:tc>
          <w:tcPr>
            <w:tcW w:type="dxa" w:w="3240"/>
            <w:vAlign w:val="center"/>
          </w:tcPr>
          <w:p>
            <w:pPr>
              <w:spacing w:after="0"/>
            </w:pPr>
            <w:r/>
            <w:r>
              <w:rPr>
                <w:rFonts w:ascii="Arial" w:hAnsi="Arial"/>
                <w:b w:val="0"/>
                <w:sz w:val="16"/>
              </w:rPr>
              <w:t>dim_customer</w:t>
            </w:r>
          </w:p>
        </w:tc>
        <w:tc>
          <w:tcPr>
            <w:tcW w:type="dxa" w:w="7272"/>
            <w:vAlign w:val="center"/>
          </w:tcPr>
          <w:p>
            <w:pPr>
              <w:spacing w:after="0"/>
            </w:pPr>
            <w:r/>
            <w:r>
              <w:rPr>
                <w:rFonts w:ascii="Arial" w:hAnsi="Arial"/>
                <w:b w:val="0"/>
                <w:sz w:val="16"/>
              </w:rPr>
              <w:t>Customer identifiers and master-data details.</w:t>
            </w:r>
          </w:p>
        </w:tc>
      </w:tr>
      <w:tr>
        <w:tc>
          <w:tcPr>
            <w:tcW w:type="dxa" w:w="3240"/>
            <w:vAlign w:val="center"/>
          </w:tcPr>
          <w:p>
            <w:pPr>
              <w:spacing w:after="0"/>
            </w:pPr>
            <w:r/>
            <w:r>
              <w:rPr>
                <w:rFonts w:ascii="Arial" w:hAnsi="Arial"/>
                <w:b w:val="0"/>
                <w:sz w:val="16"/>
              </w:rPr>
              <w:t>dim_vendor</w:t>
            </w:r>
          </w:p>
        </w:tc>
        <w:tc>
          <w:tcPr>
            <w:tcW w:type="dxa" w:w="7272"/>
            <w:vAlign w:val="center"/>
          </w:tcPr>
          <w:p>
            <w:pPr>
              <w:spacing w:after="0"/>
            </w:pPr>
            <w:r/>
            <w:r>
              <w:rPr>
                <w:rFonts w:ascii="Arial" w:hAnsi="Arial"/>
                <w:b w:val="0"/>
                <w:sz w:val="16"/>
              </w:rPr>
              <w:t>Vendor identifiers and master-data details.</w:t>
            </w:r>
          </w:p>
        </w:tc>
      </w:tr>
      <w:tr>
        <w:tc>
          <w:tcPr>
            <w:tcW w:type="dxa" w:w="3240"/>
            <w:vAlign w:val="center"/>
          </w:tcPr>
          <w:p>
            <w:pPr>
              <w:spacing w:after="0"/>
            </w:pPr>
            <w:r/>
            <w:r>
              <w:rPr>
                <w:rFonts w:ascii="Arial" w:hAnsi="Arial"/>
                <w:b w:val="0"/>
                <w:sz w:val="16"/>
              </w:rPr>
              <w:t>dim_accounting_document</w:t>
            </w:r>
          </w:p>
        </w:tc>
        <w:tc>
          <w:tcPr>
            <w:tcW w:type="dxa" w:w="7272"/>
            <w:vAlign w:val="center"/>
          </w:tcPr>
          <w:p>
            <w:pPr>
              <w:spacing w:after="0"/>
            </w:pPr>
            <w:r/>
            <w:r>
              <w:rPr>
                <w:rFonts w:ascii="Arial" w:hAnsi="Arial"/>
                <w:b w:val="0"/>
                <w:sz w:val="16"/>
              </w:rPr>
              <w:t>Accounting document header attributes from the BKPF-related data.</w:t>
            </w:r>
          </w:p>
        </w:tc>
      </w:tr>
      <w:tr>
        <w:tc>
          <w:tcPr>
            <w:tcW w:type="dxa" w:w="3240"/>
            <w:vAlign w:val="center"/>
          </w:tcPr>
          <w:p>
            <w:pPr>
              <w:spacing w:after="0"/>
            </w:pPr>
            <w:r/>
            <w:r>
              <w:rPr>
                <w:rFonts w:ascii="Arial" w:hAnsi="Arial"/>
                <w:b w:val="0"/>
                <w:sz w:val="16"/>
              </w:rPr>
              <w:t>dim_line_item_attribute</w:t>
            </w:r>
          </w:p>
        </w:tc>
        <w:tc>
          <w:tcPr>
            <w:tcW w:type="dxa" w:w="7272"/>
            <w:vAlign w:val="center"/>
          </w:tcPr>
          <w:p>
            <w:pPr>
              <w:spacing w:after="0"/>
            </w:pPr>
            <w:r/>
            <w:r>
              <w:rPr>
                <w:rFonts w:ascii="Arial" w:hAnsi="Arial"/>
                <w:b w:val="0"/>
                <w:sz w:val="16"/>
              </w:rPr>
              <w:t>Line-item classification fields such as account type, debit/credit indicator, special G/L indicator, tax code and payment terms.</w:t>
            </w:r>
          </w:p>
        </w:tc>
      </w:tr>
      <w:tr>
        <w:tc>
          <w:tcPr>
            <w:tcW w:type="dxa" w:w="3240"/>
            <w:vAlign w:val="center"/>
          </w:tcPr>
          <w:p>
            <w:pPr>
              <w:spacing w:after="0"/>
            </w:pPr>
            <w:r/>
            <w:r>
              <w:rPr>
                <w:rFonts w:ascii="Arial" w:hAnsi="Arial"/>
                <w:b w:val="0"/>
                <w:sz w:val="16"/>
              </w:rPr>
              <w:t>fact_accounting_line_item</w:t>
            </w:r>
          </w:p>
        </w:tc>
        <w:tc>
          <w:tcPr>
            <w:tcW w:type="dxa" w:w="7272"/>
            <w:vAlign w:val="center"/>
          </w:tcPr>
          <w:p>
            <w:pPr>
              <w:spacing w:after="0"/>
            </w:pPr>
            <w:r/>
            <w:r>
              <w:rPr>
                <w:rFonts w:ascii="Arial" w:hAnsi="Arial"/>
                <w:b w:val="0"/>
                <w:sz w:val="16"/>
              </w:rPr>
              <w:t>Accounting line items, measures, dates and foreign keys to relevant dimensions.</w:t>
            </w:r>
          </w:p>
        </w:tc>
      </w:tr>
    </w:tbl>
    <w:p>
      <w:pPr>
        <w:spacing w:after="20"/>
      </w:pPr>
    </w:p>
    <w:p>
      <w:pPr>
        <w:pStyle w:val="Heading1"/>
      </w:pPr>
      <w:r>
        <w:t>7. Main relationships</w:t>
      </w:r>
    </w:p>
    <w:p>
      <w:r>
        <w:t>The fact table, fact_accounting_line_item, contains accounting document and line-item identifiers, fiscal year and period, currency fields, local- and document-currency amounts, and date keys. It references the accounting document, company code, G/L account, cost centre, customer, vendor, line-item attribute and date dimensions.</w:t>
      </w:r>
    </w:p>
    <w:p>
      <w:r>
        <w:t>The schema defines uniqueness rules for important business identifiers, including company code, G/L account, cost centre, accounting document and fact line item. These constraints help protect the warehouse from duplicate dimension keys and duplicate fact grain. Optional relationships, such as a line item without a customer or cost centre, must be handled according to the loader's lookup rules.</w:t>
      </w:r>
    </w:p>
    <w:p>
      <w:pPr>
        <w:pStyle w:val="Heading1"/>
      </w:pPr>
      <w:r>
        <w:t>8. Data quality and reconciliation</w:t>
      </w:r>
    </w:p>
    <w:p>
      <w:r>
        <w:t>Profiling was used to identify repeated rows, missing values, and fields that require type or format checks. The following examples were identified in the staging profiling work:</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CE6F1"/>
          </w:tcPr>
          <w:p>
            <w:pPr>
              <w:spacing w:after="0"/>
            </w:pPr>
            <w:r/>
            <w:r>
              <w:rPr>
                <w:rFonts w:ascii="Arial" w:hAnsi="Arial"/>
                <w:b/>
                <w:sz w:val="16"/>
              </w:rPr>
              <w:t>Table</w:t>
            </w:r>
          </w:p>
        </w:tc>
        <w:tc>
          <w:tcPr>
            <w:tcW w:type="dxa" w:w="8496"/>
            <w:vAlign w:val="center"/>
            <w:shd w:fill="DCE6F1"/>
          </w:tcPr>
          <w:p>
            <w:pPr>
              <w:spacing w:after="0"/>
            </w:pPr>
            <w:r/>
            <w:r>
              <w:rPr>
                <w:rFonts w:ascii="Arial" w:hAnsi="Arial"/>
                <w:b/>
                <w:sz w:val="16"/>
              </w:rPr>
              <w:t>Profiling observation</w:t>
            </w:r>
          </w:p>
        </w:tc>
      </w:tr>
      <w:tr>
        <w:tc>
          <w:tcPr>
            <w:tcW w:type="dxa" w:w="2016"/>
            <w:vAlign w:val="center"/>
          </w:tcPr>
          <w:p>
            <w:pPr>
              <w:spacing w:after="0"/>
            </w:pPr>
            <w:r/>
            <w:r>
              <w:rPr>
                <w:rFonts w:ascii="Arial" w:hAnsi="Arial"/>
                <w:b w:val="0"/>
                <w:sz w:val="16"/>
              </w:rPr>
              <w:t>stg_bkpf</w:t>
            </w:r>
          </w:p>
        </w:tc>
        <w:tc>
          <w:tcPr>
            <w:tcW w:type="dxa" w:w="8496"/>
            <w:vAlign w:val="center"/>
          </w:tcPr>
          <w:p>
            <w:pPr>
              <w:spacing w:after="0"/>
            </w:pPr>
            <w:r/>
            <w:r>
              <w:rPr>
                <w:rFonts w:ascii="Arial" w:hAnsi="Arial"/>
                <w:b w:val="0"/>
                <w:sz w:val="16"/>
              </w:rPr>
              <w:t>150,057 rows; 470 excess exact duplicate rows reported in profiling.</w:t>
            </w:r>
          </w:p>
        </w:tc>
      </w:tr>
      <w:tr>
        <w:tc>
          <w:tcPr>
            <w:tcW w:type="dxa" w:w="2016"/>
            <w:vAlign w:val="center"/>
          </w:tcPr>
          <w:p>
            <w:pPr>
              <w:spacing w:after="0"/>
            </w:pPr>
            <w:r/>
            <w:r>
              <w:rPr>
                <w:rFonts w:ascii="Arial" w:hAnsi="Arial"/>
                <w:b w:val="0"/>
                <w:sz w:val="16"/>
              </w:rPr>
              <w:t>stg_bseg</w:t>
            </w:r>
          </w:p>
        </w:tc>
        <w:tc>
          <w:tcPr>
            <w:tcW w:type="dxa" w:w="8496"/>
            <w:vAlign w:val="center"/>
          </w:tcPr>
          <w:p>
            <w:pPr>
              <w:spacing w:after="0"/>
            </w:pPr>
            <w:r/>
            <w:r>
              <w:rPr>
                <w:rFonts w:ascii="Arial" w:hAnsi="Arial"/>
                <w:b w:val="0"/>
                <w:sz w:val="16"/>
              </w:rPr>
              <w:t>332,106 rows; 77 excess exact duplicate rows reported; some optional fields and amounts are NULL.</w:t>
            </w:r>
          </w:p>
        </w:tc>
      </w:tr>
      <w:tr>
        <w:tc>
          <w:tcPr>
            <w:tcW w:type="dxa" w:w="2016"/>
            <w:vAlign w:val="center"/>
          </w:tcPr>
          <w:p>
            <w:pPr>
              <w:spacing w:after="0"/>
            </w:pPr>
            <w:r/>
            <w:r>
              <w:rPr>
                <w:rFonts w:ascii="Arial" w:hAnsi="Arial"/>
                <w:b w:val="0"/>
                <w:sz w:val="16"/>
              </w:rPr>
              <w:t>stg_lfa1</w:t>
            </w:r>
          </w:p>
        </w:tc>
        <w:tc>
          <w:tcPr>
            <w:tcW w:type="dxa" w:w="8496"/>
            <w:vAlign w:val="center"/>
          </w:tcPr>
          <w:p>
            <w:pPr>
              <w:spacing w:after="0"/>
            </w:pPr>
            <w:r/>
            <w:r>
              <w:rPr>
                <w:rFonts w:ascii="Arial" w:hAnsi="Arial"/>
                <w:b w:val="0"/>
                <w:sz w:val="16"/>
              </w:rPr>
              <w:t>3,035 rows; 389 excess exact duplicate rows reported; city is missing in 250 rows.</w:t>
            </w:r>
          </w:p>
        </w:tc>
      </w:tr>
      <w:tr>
        <w:tc>
          <w:tcPr>
            <w:tcW w:type="dxa" w:w="2016"/>
            <w:vAlign w:val="center"/>
          </w:tcPr>
          <w:p>
            <w:pPr>
              <w:spacing w:after="0"/>
            </w:pPr>
            <w:r/>
            <w:r>
              <w:rPr>
                <w:rFonts w:ascii="Arial" w:hAnsi="Arial"/>
                <w:b w:val="0"/>
                <w:sz w:val="16"/>
              </w:rPr>
              <w:t>stg_skat</w:t>
            </w:r>
          </w:p>
        </w:tc>
        <w:tc>
          <w:tcPr>
            <w:tcW w:type="dxa" w:w="8496"/>
            <w:vAlign w:val="center"/>
          </w:tcPr>
          <w:p>
            <w:pPr>
              <w:spacing w:after="0"/>
            </w:pPr>
            <w:r/>
            <w:r>
              <w:rPr>
                <w:rFonts w:ascii="Arial" w:hAnsi="Arial"/>
                <w:b w:val="0"/>
                <w:sz w:val="16"/>
              </w:rPr>
              <w:t>782,051 rows; 71,924 excess exact duplicate rows reported; chart_of_accounts is 100% NULL in the profiled staging data.</w:t>
            </w:r>
          </w:p>
        </w:tc>
      </w:tr>
      <w:tr>
        <w:tc>
          <w:tcPr>
            <w:tcW w:type="dxa" w:w="2016"/>
            <w:vAlign w:val="center"/>
          </w:tcPr>
          <w:p>
            <w:pPr>
              <w:spacing w:after="0"/>
            </w:pPr>
            <w:r/>
            <w:r>
              <w:rPr>
                <w:rFonts w:ascii="Arial" w:hAnsi="Arial"/>
                <w:b w:val="0"/>
                <w:sz w:val="16"/>
              </w:rPr>
              <w:t>stg_t001</w:t>
            </w:r>
          </w:p>
        </w:tc>
        <w:tc>
          <w:tcPr>
            <w:tcW w:type="dxa" w:w="8496"/>
            <w:vAlign w:val="center"/>
          </w:tcPr>
          <w:p>
            <w:pPr>
              <w:spacing w:after="0"/>
            </w:pPr>
            <w:r/>
            <w:r>
              <w:rPr>
                <w:rFonts w:ascii="Arial" w:hAnsi="Arial"/>
                <w:b w:val="0"/>
                <w:sz w:val="16"/>
              </w:rPr>
              <w:t>605 rows; 67 excess exact duplicate rows reported.</w:t>
            </w:r>
          </w:p>
        </w:tc>
      </w:tr>
    </w:tbl>
    <w:p>
      <w:pPr>
        <w:spacing w:after="20"/>
      </w:pPr>
    </w:p>
    <w:p>
      <w:r>
        <w:t>These are profiling observations, not a claim that the rows were automatically deleted. Duplicate handling and NULL treatment must follow the agreed cleaning rules so that valid financial records are not discarded or values inferred without evidence. The project validation should compare source and staging counts, record counts before and after cleaning, dimension and fact counts, foreign-key lookup failures, and financial totals by company code, fiscal year/period and currency.</w:t>
      </w:r>
    </w:p>
    <w:p>
      <w:pPr>
        <w:pStyle w:val="Heading1"/>
      </w:pPr>
      <w:r>
        <w:t>9. Operational notes</w:t>
      </w:r>
    </w:p>
    <w:p>
      <w:pPr>
        <w:pStyle w:val="ListBullet"/>
        <w:spacing w:after="40"/>
      </w:pPr>
      <w:r>
        <w:t>The ingestion transformation replaces the contents of each staging table on rerun because truncate is enabled.</w:t>
      </w:r>
    </w:p>
    <w:p>
      <w:pPr>
        <w:pStyle w:val="ListBullet"/>
        <w:spacing w:after="40"/>
      </w:pPr>
      <w:r>
        <w:t>The file paths in the KTR are machine-specific absolute paths; use a consistent project folder or Pentaho variables if the project is moved.</w:t>
      </w:r>
    </w:p>
    <w:p>
      <w:pPr>
        <w:pStyle w:val="ListBullet"/>
        <w:spacing w:after="40"/>
      </w:pPr>
      <w:r>
        <w:t>The dwh schema is created by starSchema.sql. The script includes DROP TABLE statements with CASCADE, so it should be run carefully because it drops and recreates warehouse tables.</w:t>
      </w:r>
    </w:p>
    <w:p>
      <w:pPr>
        <w:pStyle w:val="ListBullet"/>
        <w:spacing w:after="40"/>
      </w:pPr>
      <w:r>
        <w:t>Keep source counts, transformation run logs, cleaning configuration, rejected-row details and reconciliation results with the project documentation.</w:t>
      </w:r>
    </w:p>
    <w:p>
      <w:pPr>
        <w:pStyle w:val="Heading1"/>
      </w:pPr>
      <w:r>
        <w:t>10. Conclusion</w:t>
      </w:r>
    </w:p>
    <w:p>
      <w:r>
        <w:t>The EFDP pipeline ingests SAP-derived extracts through Pentaho into PostgreSQL staging, prepares the data with Python/Pandas, loads the cleaned data into a PostgreSQL star schema, and makes the warehouse available for SQL analysis and Power BI reporting. The staging lineage and warehouse target structures are documented from the supplied KTR and SQL schema. The Python loader's individual field expressions and the final dashboard measure dependencies are not reproduced here because those source artifacts were not included in the files reviewed for this version.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UC20 EFDP  |  Data Lineage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UC20  |  ENTERPRISE FINANCIAL DATA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