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bidi/>
        <w:jc w:val="right"/>
      </w:pPr>
      <w:r>
        <w:rPr>
          <w:rFonts w:ascii="Arial" w:hAnsi="Arial" w:cs="Arial"/>
          <w:b/>
          <w:i w:val="0"/>
          <w:color w:val="1A4A3A"/>
          <w:sz w:val="44"/>
          <w:rtl/>
        </w:rPr>
        <w:t>أحمد عطية حسن الزهراني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21"/>
          <w:rtl/>
        </w:rPr>
        <w:t>معلم حاسب آلي (رتبة متقدّم) · مطوّر برمجيات مرخّص · طالب ماجستير في الأمن السيبراني</w:t>
      </w:r>
    </w:p>
    <w:p>
      <w:pPr>
        <w:spacing w:before="0" w:after="140" w:line="276" w:lineRule="auto"/>
        <w:jc w:val="right"/>
        <w:pBdr>
          <w:bottom w:val="single" w:sz="12" w:space="6" w:color="B88950"/>
        </w:pBdr>
      </w:pPr>
      <w:r>
        <w:rPr>
          <w:rFonts w:ascii="Arial" w:hAnsi="Arial" w:cs="Arial"/>
          <w:b w:val="0"/>
          <w:i w:val="0"/>
          <w:color w:val="333333"/>
          <w:sz w:val="19"/>
          <w:rtl/>
        </w:rPr>
        <w:t>447001014@stu.bu.edu.sa   ·   +966 54 041 3434   ·   alahm34-art.github.io   ·   الباحة — السعودية</w:t>
      </w: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الملف المهني</w:t>
      </w:r>
    </w:p>
    <w:p>
      <w:pPr>
        <w:spacing w:before="0" w:after="4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8"/>
          <w:rtl/>
        </w:rPr>
        <w:t>معلم حاسب آلي برتبة متقدّم وخبرة ١٦ عاماً، يجمع الممارسة التربوية بالتطوير البرمجي. أُكمل حالياً ماجستير الأمن السيبراني بجامعة الباحة، باتجاه بحثي في الأمن السيبراني المدعوم بالذكاء الاصطناعي.</w:t>
      </w: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الخبرة المهنية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معلم حاسب آلي — رتبة متقدّم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٢٠٠٨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متوسطة وثانوية الجوفاء — مكتب تعليم المندق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تدريس مناهج الحاسب لستة عشر عاماً وفق استراتيجيات التعليم الحديث وتنمية التفكير الحاسوبي، بلوغ رتبة «معلم متقدّم»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تدريب الطلاب في نادي الحاسب وبرنامج «ساعة برمجة» — شهادتا تقدير متتاليتان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رئيس فريق التقويم الذاتي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٢٠٢٤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متوسطة وثانوية الجوفاء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تأسيس الفريق وبناء سجلاته، وإعداد خطط التحسين والإشراف على تنفيذها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منسّق التدريب والتطوير المهني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٢٠١٥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متوسطة وثانوية الجوفاء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قيادة مبادرة «تمكين» لرفع نسبة حصول ٣٢ معلماً على الرخصة المهنية من ٢٩٪ إلى مستهدف ٧٥٪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بناء برامج التطوير المهني وتنسيق المدربين، وتصميم منظومة قياس أثر التدريب بـ Power BI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شهادة شكر وتقدير — المجتمعات المهنية للمعلمين، أربع مرات متتالية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مشرف منصة مدرستي والدعم الفني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٢٠١٥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متوسطة وثانوية الجوفاء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إدارة المنصة التعليمية ودعم المعلمين والطلاب فنياً، وإعداد تقارير الأداء الدورية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منسّق الإعلام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٢٠١٨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متوسطة وثانوية الجوفاء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إدارة الهوية البصرية للمدرسة وإنتاج محتواها الرقمي — شهادة تقدير ثلاث مرات متتالية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مطوّر ومصمم برمجيات مستقل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عمل حر مرخّص — المملكة العربية السعودية</w:t>
      </w:r>
    </w:p>
    <w:p>
      <w:pPr>
        <w:spacing w:before="0" w:after="0" w:line="254" w:lineRule="auto"/>
        <w:ind w:right="255"/>
        <w:bidi/>
        <w:jc w:val="right"/>
      </w:pPr>
      <w:r>
        <w:rPr>
          <w:rFonts w:ascii="Arial" w:hAnsi="Arial" w:cs="Arial"/>
          <w:b/>
          <w:i w:val="0"/>
          <w:color w:val="B88950"/>
          <w:sz w:val="16"/>
          <w:rtl/>
        </w:rPr>
        <w:t xml:space="preserve">•  </w:t>
      </w:r>
      <w:r>
        <w:rPr>
          <w:rFonts w:ascii="Arial" w:hAnsi="Arial" w:cs="Arial"/>
          <w:b w:val="0"/>
          <w:i w:val="0"/>
          <w:color w:val="333333"/>
          <w:sz w:val="16"/>
          <w:rtl/>
        </w:rPr>
        <w:t>تطوير وبيع تطبيقات ويب عربية للقطاع التعليمي، بتغطية دورة المنتج كاملة حتى التراخيص ودعم العملاء</w:t>
      </w: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التعليم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ماجستير العلوم في الأمن السيبراني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٢٠٢٥ — حتى الآن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جامعة الباحة — كلية الحاسبات وتقنية المعلومات</w:t>
      </w:r>
    </w:p>
    <w:p>
      <w:pPr>
        <w:spacing w:before="50" w:after="0" w:line="276" w:lineRule="auto"/>
        <w:tabs>
          <w:tab w:pos="10091" w:val="left"/>
        </w:tabs>
        <w:bidi/>
        <w:jc w:val="right"/>
      </w:pPr>
      <w:r>
        <w:rPr>
          <w:rFonts w:ascii="Arial" w:hAnsi="Arial" w:cs="Arial"/>
          <w:b/>
          <w:i w:val="0"/>
          <w:color w:val="1A1A1A"/>
          <w:sz w:val="20"/>
          <w:rtl/>
        </w:rPr>
        <w:t>بكالوريوس الحاسب الآلي التربوي</w:t>
      </w:r>
      <w:r>
        <w:rPr>
          <w:rFonts w:ascii="Arial" w:hAnsi="Arial" w:cs="Arial"/>
          <w:b w:val="0"/>
          <w:i w:val="0"/>
          <w:color w:val="333333"/>
          <w:sz w:val="20"/>
          <w:rtl/>
        </w:rPr>
        <w:tab/>
      </w:r>
      <w:r>
        <w:rPr>
          <w:rFonts w:ascii="Arial" w:hAnsi="Arial" w:cs="Arial"/>
          <w:b w:val="0"/>
          <w:i w:val="0"/>
          <w:color w:val="B88950"/>
          <w:sz w:val="17"/>
          <w:rtl/>
        </w:rPr>
        <w:t>٢٠٠٤ — ٢٠٠٧</w:t>
      </w:r>
    </w:p>
    <w:p>
      <w:pPr>
        <w:spacing w:before="0" w:after="40" w:line="276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8"/>
          <w:rtl/>
        </w:rPr>
        <w:t>جامعة أم القرى — كلية المعلمين بالقنفذة</w:t>
      </w:r>
    </w:p>
    <w:p>
      <w:pPr>
        <w:spacing w:before="0" w:after="20" w:line="252" w:lineRule="auto"/>
        <w:bidi/>
        <w:jc w:val="right"/>
      </w:pPr>
      <w:r>
        <w:rPr>
          <w:rFonts w:ascii="Arial" w:hAnsi="Arial" w:cs="Arial"/>
          <w:b w:val="0"/>
          <w:i w:val="0"/>
          <w:color w:val="6A6A6A"/>
          <w:sz w:val="17"/>
          <w:rtl/>
        </w:rPr>
        <w:t>المعدل ٤٫٣٠ من ٥٫٠٠ — مرتبة الشرف الثانية.</w:t>
      </w: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مواد الماجستير والمهارات المكتسبة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75"/>
        <w:gridCol w:w="3475"/>
        <w:gridCol w:w="3475"/>
      </w:tblGrid>
      <w:tr>
        <w:tc>
          <w:tcPr>
            <w:tcW w:type="dxa" w:w="2948"/>
            <w:shd w:val="clear" w:color="auto" w:fill="1A4A3A"/>
          </w:tcPr>
          <w:p>
            <w:pPr>
              <w:spacing w:after="10" w:before="10"/>
              <w:bidi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rtl/>
              </w:rPr>
              <w:t>المادة</w:t>
            </w:r>
          </w:p>
        </w:tc>
        <w:tc>
          <w:tcPr>
            <w:tcW w:type="dxa" w:w="6236"/>
            <w:shd w:val="clear" w:color="auto" w:fill="1A4A3A"/>
          </w:tcPr>
          <w:p>
            <w:pPr>
              <w:spacing w:after="10" w:before="10"/>
              <w:bidi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rtl/>
              </w:rPr>
              <w:t>المهارات المكتسبة</w:t>
            </w:r>
          </w:p>
        </w:tc>
        <w:tc>
          <w:tcPr>
            <w:tcW w:type="dxa" w:w="907"/>
            <w:shd w:val="clear" w:color="auto" w:fill="1A4A3A"/>
          </w:tcPr>
          <w:p>
            <w:pPr>
              <w:spacing w:after="10" w:before="10"/>
              <w:bidi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rtl/>
              </w:rPr>
              <w:t>الملف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أساسيات الأمن السيبراني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أنظمة كشف التسلل · التعلّم الآلي والعميق للأمن · المراجعة الأدبية المنهجية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hyperlink r:id="rId9">
              <w:r>
                <w:rPr>
                  <w:rFonts w:ascii="Arial" w:hAnsi="Arial" w:cs="Arial"/>
                  <w:color w:val="1A4A3A"/>
                  <w:u w:val="single"/>
                  <w:sz w:val="16"/>
                  <w:szCs w:val="16"/>
                  <w:b/>
                  <w:rtl/>
                </w:rPr>
                <w:t xml:space="preserve">عرض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التشفير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التشفير المتماثل وغير المتماثل · بروتوكولات تبادل المفاتيح · تحليل نماذج التهديد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  <w:bidi/>
              <w:jc w:val="right"/>
            </w:pPr>
            <w:hyperlink r:id="rId10">
              <w:r>
                <w:rPr>
                  <w:rFonts w:ascii="Arial" w:hAnsi="Arial" w:cs="Arial"/>
                  <w:color w:val="1A4A3A"/>
                  <w:u w:val="single"/>
                  <w:sz w:val="16"/>
                  <w:szCs w:val="16"/>
                  <w:b/>
                  <w:rtl/>
                </w:rPr>
                <w:t xml:space="preserve">عرض</w:t>
              </w:r>
            </w:hyperlink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تحليل وتصميم الخوارزميات المتقدم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تحليل التعقيد الزمني والمكاني · البرمجة الديناميكية · القياس التجريبي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hyperlink r:id="rId11">
              <w:r>
                <w:rPr>
                  <w:rFonts w:ascii="Arial" w:hAnsi="Arial" w:cs="Arial"/>
                  <w:color w:val="1A4A3A"/>
                  <w:u w:val="single"/>
                  <w:sz w:val="16"/>
                  <w:szCs w:val="16"/>
                  <w:b/>
                  <w:rtl/>
                </w:rPr>
                <w:t xml:space="preserve">عرض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أمن أنظمة التشغيل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أمن النواة · الكشف الإحصائي عن الشذوذ · التحليل النقدي للأوراق العلمية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  <w:bidi/>
              <w:jc w:val="right"/>
            </w:pPr>
            <w:hyperlink r:id="rId12">
              <w:r>
                <w:rPr>
                  <w:rFonts w:ascii="Arial" w:hAnsi="Arial" w:cs="Arial"/>
                  <w:color w:val="1A4A3A"/>
                  <w:u w:val="single"/>
                  <w:sz w:val="16"/>
                  <w:szCs w:val="16"/>
                  <w:b/>
                  <w:rtl/>
                </w:rPr>
                <w:t xml:space="preserve">عرض</w:t>
              </w:r>
            </w:hyperlink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أمن الشبكات</w:t>
            </w:r>
          </w:p>
        </w:tc>
        <w:tc>
          <w:tcPr>
            <w:tcW w:type="dxa" w:w="6236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كشف أنماط الهجوم · التحكم بالوصول · بناء السياسات الأمنية وإنفاذها</w:t>
            </w:r>
          </w:p>
        </w:tc>
        <w:tc>
          <w:tcPr>
            <w:tcW w:type="dxa" w:w="907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hyperlink r:id="rId13">
              <w:r>
                <w:rPr>
                  <w:rFonts w:ascii="Arial" w:hAnsi="Arial" w:cs="Arial"/>
                  <w:color w:val="1A4A3A"/>
                  <w:u w:val="single"/>
                  <w:sz w:val="16"/>
                  <w:szCs w:val="16"/>
                  <w:b/>
                  <w:rtl/>
                </w:rPr>
                <w:t xml:space="preserve">عرض</w:t>
              </w:r>
            </w:hyperlink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منهجيات البحث</w:t>
            </w:r>
          </w:p>
        </w:tc>
        <w:tc>
          <w:tcPr>
            <w:tcW w:type="dxa" w:w="6236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صياغة المشكلة والأسئلة البحثية · تحديد الفجوة · تصميم بروتوكولات التقييم</w:t>
            </w:r>
          </w:p>
        </w:tc>
        <w:tc>
          <w:tcPr>
            <w:tcW w:type="dxa" w:w="907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</w:r>
          </w:p>
        </w:tc>
      </w:tr>
    </w:tbl>
    <w:p>
      <w:pPr>
        <w:spacing w:before="0" w:after="20" w:line="276" w:lineRule="auto"/>
        <w:bidi/>
        <w:jc w:val="right"/>
      </w:pP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الطموح البحثي</w:t>
      </w:r>
    </w:p>
    <w:p>
      <w:pPr>
        <w:spacing w:before="0" w:after="4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8"/>
          <w:rtl/>
        </w:rPr>
        <w:t>تقاطع الأمن السيبراني مع الذكاء الاصطناعي: توظيف نماذج التعلّم العميق لبناء منظومات كشف ذكية تلائم البيئات محدودة الموارد، بمنهجية تقييم متعدّدة الأبعاد تضمن نتائج موثوقة خارج بيئة التدريب.</w:t>
      </w: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المهارات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213"/>
        <w:gridCol w:w="5213"/>
      </w:tblGrid>
      <w:tr>
        <w:tc>
          <w:tcPr>
            <w:tcW w:type="dxa" w:w="2948"/>
            <w:shd w:val="clear" w:color="auto" w:fill="1A4A3A"/>
          </w:tcPr>
          <w:p>
            <w:pPr>
              <w:spacing w:after="10" w:before="10"/>
              <w:bidi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rtl/>
              </w:rPr>
              <w:t>المجال</w:t>
            </w:r>
          </w:p>
        </w:tc>
        <w:tc>
          <w:tcPr>
            <w:tcW w:type="dxa" w:w="7143"/>
            <w:shd w:val="clear" w:color="auto" w:fill="1A4A3A"/>
          </w:tcPr>
          <w:p>
            <w:pPr>
              <w:spacing w:after="10" w:before="10"/>
              <w:bidi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rtl/>
              </w:rPr>
              <w:t>التفاصيل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البرمجة وتطوير الويب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Python · Flask · SQLite · JavaScript · HTML/CSS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التعلّم الآلي والبيانات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NumPy · SciPy · Matplotlib · Power BI · الكشف الإحصائي عن الشذوذ · تقييم النماذج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الأمن السيبراني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كشف التسلل · التشفير التطبيقي · أمن أنظمة التشغيل والشبكات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أدوات ومهارات مساندة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Git &amp; GitHub · VS Code · Jupyter · LaTeX / Overleaf · التخطيط الاستراتيجي · التدريب المهني · تصميم الجرافيك</w:t>
            </w:r>
          </w:p>
        </w:tc>
      </w:tr>
      <w:tr>
        <w:tc>
          <w:tcPr>
            <w:tcW w:type="dxa" w:w="2948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المكانة المهنية</w:t>
            </w:r>
          </w:p>
        </w:tc>
        <w:tc>
          <w:tcPr>
            <w:tcW w:type="dxa" w:w="7143"/>
            <w:shd w:val="clear" w:color="auto" w:fill="F4F6F5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رخصة «معلم متقدّم» · ترخيص عمل حر · العربية (الأم) والإنجليزية (قراءة تقنية)</w:t>
            </w:r>
          </w:p>
        </w:tc>
      </w:tr>
      <w:tr>
        <w:tc>
          <w:tcPr>
            <w:tcW w:type="dxa" w:w="2948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التدريب</w:t>
            </w:r>
          </w:p>
        </w:tc>
        <w:tc>
          <w:tcPr>
            <w:tcW w:type="dxa" w:w="7143"/>
          </w:tcPr>
          <w:p>
            <w:pPr>
              <w:spacing w:after="10" w:before="10" w:line="240" w:lineRule="auto"/>
              <w:bidi/>
              <w:jc w:val="right"/>
            </w:pPr>
            <w:r>
              <w:rPr>
                <w:rFonts w:ascii="Arial" w:hAnsi="Arial" w:cs="Arial"/>
                <w:b w:val="0"/>
                <w:i w:val="0"/>
                <w:color w:val="333333"/>
                <w:sz w:val="16"/>
                <w:rtl/>
              </w:rPr>
              <w:t>٦٢٩ ساعة مُكتسبة · ٥٠ كمدرّب · ٢٤٧ مباشرة · ١٠٢ تطوّعاً</w:t>
            </w:r>
          </w:p>
        </w:tc>
      </w:tr>
    </w:tbl>
    <w:p>
      <w:pPr>
        <w:spacing w:before="0" w:after="20" w:line="276" w:lineRule="auto"/>
        <w:bidi/>
        <w:jc w:val="right"/>
      </w:pPr>
    </w:p>
    <w:p>
      <w:pPr>
        <w:spacing w:before="40" w:after="20" w:line="276" w:lineRule="auto"/>
        <w:bidi/>
        <w:jc w:val="right"/>
        <w:pBdr>
          <w:bottom w:val="single" w:sz="6" w:space="3" w:color="D5D5D5"/>
        </w:pBdr>
      </w:pPr>
      <w:r>
        <w:rPr>
          <w:rFonts w:ascii="Arial" w:hAnsi="Arial" w:cs="Arial"/>
          <w:b/>
          <w:i w:val="0"/>
          <w:color w:val="1A4A3A"/>
          <w:sz w:val="23"/>
          <w:rtl/>
        </w:rPr>
        <w:t>المشاريع والأعمال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ورقة بحثية — نظام توعية سيبرانية تكيّفي للبيئات التعليمية (ACAS)</w:t>
      </w:r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ورقة بصيغة IEEE تقترح نظاماً يصنّف الموظفين إلى ثلاثة ملفات مخاطر بخوارزمية شجرة القرار (دقة ٩٤٪) ويوصي بمحتوى تدريبي مخصّص من منصة «حصين». نموذج أوّلي بـ Python و Streamlit.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كشف الجذور الخفية عبر الشذوذ الزمني في نواة النظام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2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خط كشف إحصائي بـ Python: خط أساس أحادي الصنف، مسافة Mahalanobis وقيمة chi-square، ومسح ٢٠٠ عتبة. النتيجة F1 = ٠٫٩٩٩ بإنذار كاذب ٠٫٢٪، ونتائج قابلة لإعادة الإنتاج حرفياً.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دور التعلّم الآلي في تعزيز أنظمة كشف التسلل — مراجعة أدبية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9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مسح منهجي لأكثر من ٢٠ عملاً يغطي التعلّم الآلي الكلاسيكي والعميق (CNN، LSTM، GAN) ونماذج المحوّلات (TabNet، RTIDS)، مع جدول مقارن للمزايا والقيود.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تحليل البنية التشفيرية لتطبيق واتساب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0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تحليل تقني للتشفير التام: Curve25519 و AES-256-GCM وبروتوكول Signal، مع تقييم كشف البيانات الوصفية.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أسس أمن الشبكات — كشف الأنماط والتحكم بالوصول والسياسات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3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عرض من ٦٨ شريحة يغطي خمسة أساليب لكشف التسلل وربط الهجمات متعدّدة المراحل.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مسألة البائع المتجول — تحليل مقارن للخوارزميات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1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القوة الغاشمة O(n!) مقابل Held-Karp O(n²·2ⁿ): المسار الأمثل نفسه (٤٥٠ كم) بتسريع ٥٦٫٦ ضعفاً.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مبادرة مِرصاد ومنظومتا التخطيط والمتابعة المدرسية — تطبيقات ويب إنتاجية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4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p>
      <w:pPr>
        <w:spacing w:before="0" w:after="10" w:line="252" w:lineRule="auto"/>
        <w:bidi/>
        <w:jc w:val="right"/>
      </w:pPr>
      <w:r>
        <w:rPr>
          <w:rFonts w:ascii="Arial" w:hAnsi="Arial" w:cs="Arial"/>
          <w:b w:val="0"/>
          <w:i w:val="0"/>
          <w:color w:val="333333"/>
          <w:sz w:val="16"/>
          <w:rtl/>
        </w:rPr>
        <w:t>أداة تربط كل هدف تشغيلي بمؤشره ومستهدفه بفحص آلي للجودة وشواهد QR، مع نظام متابعة الخطط (٤٫٣) بتراخيص HMAC-SHA256. (Flask · SQLite)</w:t>
      </w:r>
    </w:p>
    <w:p>
      <w:pPr>
        <w:spacing w:before="30" w:after="0" w:line="276" w:lineRule="auto"/>
        <w:bidi/>
        <w:jc w:val="right"/>
        <w:keepNext/>
      </w:pPr>
      <w:r>
        <w:rPr>
          <w:rFonts w:ascii="Arial" w:hAnsi="Arial" w:cs="Arial"/>
          <w:b/>
          <w:i w:val="0"/>
          <w:color w:val="1A1A1A"/>
          <w:sz w:val="18"/>
          <w:rtl/>
        </w:rPr>
        <w:t>مبادرة إتقان — معالجة التبخّر المعرفي بالتكرار المتباعد وتلعيب الإنتاج المعرفي والتعلّم بالأقران</w:t>
      </w:r>
      <w:r>
        <w:rPr>
          <w:rFonts w:ascii="Arial" w:hAnsi="Arial" w:cs="Arial"/>
          <w:b w:val="0"/>
          <w:i w:val="0"/>
          <w:color w:val="333333"/>
          <w:sz w:val="18"/>
          <w:rtl/>
        </w:rPr>
        <w:t xml:space="preserve">   </w:t>
      </w:r>
      <w:hyperlink r:id="rId15">
        <w:r>
          <w:rPr>
            <w:rFonts w:ascii="Arial" w:hAnsi="Arial" w:cs="Arial"/>
            <w:color w:val="1A4A3A"/>
            <w:u w:val="single"/>
            <w:sz w:val="16"/>
            <w:szCs w:val="16"/>
            <w:b/>
            <w:rtl/>
          </w:rPr>
          <w:t xml:space="preserve">عرض</w:t>
        </w:r>
      </w:hyperlink>
    </w:p>
    <w:sectPr w:rsidR="00FC693F" w:rsidRPr="0006063C" w:rsidSect="00034616">
      <w:pgSz w:w="12240" w:h="15840"/>
      <w:pgMar w:top="624" w:right="907" w:bottom="45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5-PfRnrBQgjkaIldNqNnPQeI_wqnDFR4/view" TargetMode="External"/><Relationship Id="rId10" Type="http://schemas.openxmlformats.org/officeDocument/2006/relationships/hyperlink" Target="https://drive.google.com/file/d/1GFS0cRezx2mAPlL0wHcC-Jj8bpz3ut7q/view" TargetMode="External"/><Relationship Id="rId11" Type="http://schemas.openxmlformats.org/officeDocument/2006/relationships/hyperlink" Target="https://drive.google.com/file/d/1IjhegKBpni3bm8LENWFYNUMCcmU_LWc_/view" TargetMode="External"/><Relationship Id="rId12" Type="http://schemas.openxmlformats.org/officeDocument/2006/relationships/hyperlink" Target="https://drive.google.com/file/d/1bcsWZBTm1IMyZPk861K9pRA2Td0iHdeN/view" TargetMode="External"/><Relationship Id="rId13" Type="http://schemas.openxmlformats.org/officeDocument/2006/relationships/hyperlink" Target="https://drive.google.com/file/d/1wRZdqUlOEDgQSR1BKkuXuuDPzty1-WKM/view" TargetMode="External"/><Relationship Id="rId14" Type="http://schemas.openxmlformats.org/officeDocument/2006/relationships/hyperlink" Target="https://drive.google.com/file/d/1lpPZsc0Lw1NPRQSNYy6zIRNSJaYVF7GZ/view" TargetMode="External"/><Relationship Id="rId15" Type="http://schemas.openxmlformats.org/officeDocument/2006/relationships/hyperlink" Target="https://drive.google.com/file/d/10wQTdyAmnKhvEhB6ABbTjjGcERu6BW-A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