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1A4A3A"/>
          <w:sz w:val="44"/>
          <w:rtl w:val="0"/>
        </w:rPr>
        <w:t>Ahmed Atiyah Hassan AL-Zahrani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21"/>
          <w:rtl w:val="0"/>
        </w:rPr>
        <w:t>Computer Science Teacher (Advanced Rank) · Licensed Software Developer · M.Sc. Cybersecurity Student</w:t>
      </w:r>
    </w:p>
    <w:p>
      <w:pPr>
        <w:spacing w:before="0" w:after="140" w:line="276" w:lineRule="auto"/>
        <w:pBdr>
          <w:bottom w:val="single" w:sz="12" w:space="6" w:color="B88950"/>
        </w:pBdr>
      </w:pPr>
      <w:r>
        <w:rPr>
          <w:rFonts w:ascii="Calibri" w:hAnsi="Calibri" w:cs="Calibri"/>
          <w:b w:val="0"/>
          <w:i w:val="0"/>
          <w:color w:val="333333"/>
          <w:sz w:val="19"/>
          <w:rtl w:val="0"/>
        </w:rPr>
        <w:t>447001014@stu.bu.edu.sa   ·   +966 54 041 3434   ·   alahm34-art.github.io   ·   Al-Baha, Saudi Arabia</w:t>
      </w: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PROFESSIONAL PROFILE</w:t>
      </w:r>
    </w:p>
    <w:p>
      <w:pPr>
        <w:spacing w:before="0" w:after="4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>An Advanced-rank Computer Science teacher with 16 years of experience, combining classroom practice with professional software development. I lead professional-development initiatives within my school and build the digital tools that serve them — from an operational planning system to performance-tracking platforms. Currently completing an M.Sc. in Cybersecurity at Al-Baha University, with a research direction in AI-driven cybersecurity for resource-constrained environments.</w:t>
      </w: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PROFESSIONAL EXPERIENCE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Computer Science Teacher — Advanced Rank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2008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Al-Jawfaa School — Al-Mandaq Education Office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Taught computer science for sixteen years using modern instructional strategies, achieving 'Advanced Teacher' rank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Trained students in the Computer Club and the Hour of Code programme — two consecutive certificates of appreciation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Head of the Self-Evaluation Team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2024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Al-Jawfaa School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Founded the self-evaluation team and built its records system, prepared improvement plans and supervised implementation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Training &amp; Professional Development Coordinator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2015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Al-Jawfaa School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Leading the 'Tamkeen' initiative to raise professional-licence attainment among 32 teachers from 29% toward a 75% target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Built professional-development programmes, coordinated trainers, and designed a training impact-measurement system in Power BI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Certificate of appreciation — Teacher Professional Learning Communities, four consecutive times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Madrasati Platform Supervisor &amp; Technical Support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2015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Al-Jawfaa School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Managed the e-learning platform, supported teachers and students technically, and produced periodic performance reports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Media Coordinator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2018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Al-Jawfaa School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Managed the school's visual identity and produced its digital content — certificate of appreciation three consecutive times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Independent Software Developer &amp; Designer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Licensed freelance — Saudi Arabia</w:t>
      </w:r>
    </w:p>
    <w:p>
      <w:pPr>
        <w:spacing w:before="0" w:after="0" w:line="254" w:lineRule="auto"/>
        <w:ind w:left="255"/>
      </w:pPr>
      <w:r>
        <w:rPr>
          <w:rFonts w:ascii="Calibri" w:hAnsi="Calibri" w:cs="Calibri"/>
          <w:b/>
          <w:i w:val="0"/>
          <w:color w:val="B88950"/>
          <w:sz w:val="16"/>
          <w:rtl w:val="0"/>
        </w:rPr>
        <w:t xml:space="preserve">•  </w:t>
      </w: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Developing and selling Arabic web applications for the education sector, covering the full product cycle through licensing and client support</w:t>
      </w: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EDUCATION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M.Sc. in Cybersecurity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2025 — Present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Al-Baha University — College of Computing and Information Technology</w:t>
      </w:r>
    </w:p>
    <w:p>
      <w:pPr>
        <w:tabs>
          <w:tab w:pos="10091" w:val="right"/>
        </w:tabs>
        <w:spacing w:before="50" w:after="0" w:line="276" w:lineRule="auto"/>
      </w:pPr>
      <w:r>
        <w:rPr>
          <w:rFonts w:ascii="Calibri" w:hAnsi="Calibri" w:cs="Calibri"/>
          <w:b/>
          <w:i w:val="0"/>
          <w:color w:val="1A1A1A"/>
          <w:sz w:val="20"/>
          <w:rtl w:val="0"/>
        </w:rPr>
        <w:t>B.Sc. in Educational Computer Science</w:t>
      </w:r>
      <w:r>
        <w:rPr>
          <w:rFonts w:ascii="Calibri" w:hAnsi="Calibri" w:cs="Calibri"/>
          <w:b w:val="0"/>
          <w:i w:val="0"/>
          <w:color w:val="333333"/>
          <w:sz w:val="20"/>
          <w:rtl w:val="0"/>
        </w:rPr>
        <w:tab/>
      </w:r>
      <w:r>
        <w:rPr>
          <w:rFonts w:ascii="Calibri" w:hAnsi="Calibri" w:cs="Calibri"/>
          <w:b w:val="0"/>
          <w:i w:val="0"/>
          <w:color w:val="B88950"/>
          <w:sz w:val="17"/>
          <w:rtl w:val="0"/>
        </w:rPr>
        <w:t>2004 — 2007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6A6A6A"/>
          <w:sz w:val="18"/>
          <w:rtl w:val="0"/>
        </w:rPr>
        <w:t>Umm Al-Qura University — Teachers College, Al-Qunfudhah</w:t>
      </w:r>
    </w:p>
    <w:p>
      <w:pPr>
        <w:spacing w:before="0" w:after="20" w:line="252" w:lineRule="auto"/>
        <w:jc w:val="both"/>
      </w:pPr>
      <w:r>
        <w:rPr>
          <w:rFonts w:ascii="Calibri" w:hAnsi="Calibri" w:cs="Calibri"/>
          <w:b w:val="0"/>
          <w:i w:val="0"/>
          <w:color w:val="6A6A6A"/>
          <w:sz w:val="17"/>
          <w:rtl w:val="0"/>
        </w:rPr>
        <w:t>GPA 4.30 / 5.00 — Second-Class Honours.</w:t>
      </w: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M.SC. SUBJECTS AND SKILLS GAINED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948"/>
            <w:shd w:val="clear" w:color="auto" w:fill="1A4A3A"/>
          </w:tcPr>
          <w:p>
            <w:pPr>
              <w:spacing w:after="10" w:before="10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  <w:rtl w:val="0"/>
              </w:rPr>
              <w:t>Subject</w:t>
            </w:r>
          </w:p>
        </w:tc>
        <w:tc>
          <w:tcPr>
            <w:tcW w:type="dxa" w:w="6236"/>
            <w:shd w:val="clear" w:color="auto" w:fill="1A4A3A"/>
          </w:tcPr>
          <w:p>
            <w:pPr>
              <w:spacing w:after="10" w:before="10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  <w:rtl w:val="0"/>
              </w:rPr>
              <w:t>Skills gained</w:t>
            </w:r>
          </w:p>
        </w:tc>
        <w:tc>
          <w:tcPr>
            <w:tcW w:type="dxa" w:w="907"/>
            <w:shd w:val="clear" w:color="auto" w:fill="1A4A3A"/>
          </w:tcPr>
          <w:p>
            <w:pPr>
              <w:spacing w:after="10" w:before="10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  <w:rtl w:val="0"/>
              </w:rPr>
              <w:t>File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Cybersecurity Foundations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IDS · ML/DL for security · Systematic literature review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</w:pPr>
            <w:hyperlink r:id="rId9">
              <w:r>
                <w:rPr>
                  <w:rFonts w:ascii="Calibri" w:hAnsi="Calibri" w:cs="Calibri"/>
                  <w:color w:val="1A4A3A"/>
                  <w:u w:val="single"/>
                  <w:sz w:val="16"/>
                  <w:szCs w:val="16"/>
                  <w:b/>
                </w:rPr>
                <w:t xml:space="preserve">View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Cryptography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Symmetric/asymmetric encryption · Key exchange · Threat modelling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</w:pPr>
            <w:hyperlink r:id="rId10">
              <w:r>
                <w:rPr>
                  <w:rFonts w:ascii="Calibri" w:hAnsi="Calibri" w:cs="Calibri"/>
                  <w:color w:val="1A4A3A"/>
                  <w:u w:val="single"/>
                  <w:sz w:val="16"/>
                  <w:szCs w:val="16"/>
                  <w:b/>
                </w:rPr>
                <w:t xml:space="preserve">View</w:t>
              </w:r>
            </w:hyperlink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Advanced Algorithm Analysis &amp; Design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Complexity analysis · Dynamic programming · Empirical benchmarking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</w:pPr>
            <w:hyperlink r:id="rId11">
              <w:r>
                <w:rPr>
                  <w:rFonts w:ascii="Calibri" w:hAnsi="Calibri" w:cs="Calibri"/>
                  <w:color w:val="1A4A3A"/>
                  <w:u w:val="single"/>
                  <w:sz w:val="16"/>
                  <w:szCs w:val="16"/>
                  <w:b/>
                </w:rPr>
                <w:t xml:space="preserve">View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Operating System Security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Kernel security · Statistical anomaly detection · Critical paper analysis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</w:pPr>
            <w:hyperlink r:id="rId12">
              <w:r>
                <w:rPr>
                  <w:rFonts w:ascii="Calibri" w:hAnsi="Calibri" w:cs="Calibri"/>
                  <w:color w:val="1A4A3A"/>
                  <w:u w:val="single"/>
                  <w:sz w:val="16"/>
                  <w:szCs w:val="16"/>
                  <w:b/>
                </w:rPr>
                <w:t xml:space="preserve">View</w:t>
              </w:r>
            </w:hyperlink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Network Security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Attack pattern detection · Access control · Security policy enforcement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</w:pPr>
            <w:hyperlink r:id="rId13">
              <w:r>
                <w:rPr>
                  <w:rFonts w:ascii="Calibri" w:hAnsi="Calibri" w:cs="Calibri"/>
                  <w:color w:val="1A4A3A"/>
                  <w:u w:val="single"/>
                  <w:sz w:val="16"/>
                  <w:szCs w:val="16"/>
                  <w:b/>
                </w:rPr>
                <w:t xml:space="preserve">View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Research Methods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Problem framing · Gap identification · Evaluation protocol design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</w:r>
          </w:p>
        </w:tc>
      </w:tr>
    </w:tbl>
    <w:p>
      <w:pPr>
        <w:spacing w:before="0" w:after="20" w:line="276" w:lineRule="auto"/>
      </w:pP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RESEARCH AMBITION</w:t>
      </w:r>
    </w:p>
    <w:p>
      <w:pPr>
        <w:spacing w:before="0" w:after="4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>My research ambition lies at the intersection of cybersecurity and artificial intelligence: applying deep learning models to build intelligent detection systems suited to resource-constrained environments, with particular care for the multi-dimensional evaluation methodology that keeps results reliable beyond the training environment.</w:t>
      </w: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val="clear" w:color="auto" w:fill="1A4A3A"/>
          </w:tcPr>
          <w:p>
            <w:pPr>
              <w:spacing w:after="10" w:before="10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  <w:rtl w:val="0"/>
              </w:rPr>
              <w:t>Area</w:t>
            </w:r>
          </w:p>
        </w:tc>
        <w:tc>
          <w:tcPr>
            <w:tcW w:type="dxa" w:w="7143"/>
            <w:shd w:val="clear" w:color="auto" w:fill="1A4A3A"/>
          </w:tcPr>
          <w:p>
            <w:pPr>
              <w:spacing w:after="10" w:before="10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  <w:rtl w:val="0"/>
              </w:rPr>
              <w:t>Details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Programming &amp; Web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Python · Flask · SQLite · JavaScript · HTML/CSS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Machine Learning &amp; Data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NumPy · SciPy · Matplotlib · Power BI · Statistical anomaly detection · Model evaluation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Cybersecurity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Intrusion detection · Applied cryptography · OS and network security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Tooling &amp; supporting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Git &amp; GitHub · VS Code · Jupyter · LaTeX / Overleaf · Strategic planning · Training · Graphic design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Professional standing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Advanced Teacher licence · Saudi freelance software licence · Arabic (native), English (technical reading)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Training &amp; volunteering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</w:pPr>
            <w:r>
              <w:rPr>
                <w:rFonts w:ascii="Calibri" w:hAnsi="Calibri" w:cs="Calibri"/>
                <w:b w:val="0"/>
                <w:i w:val="0"/>
                <w:color w:val="333333"/>
                <w:sz w:val="16"/>
                <w:rtl w:val="0"/>
              </w:rPr>
              <w:t>629 hours completed · 50 as trainer · 247 direct · 102 volunteer</w:t>
            </w:r>
          </w:p>
        </w:tc>
      </w:tr>
    </w:tbl>
    <w:p>
      <w:pPr>
        <w:spacing w:before="0" w:after="20" w:line="276" w:lineRule="auto"/>
      </w:pPr>
    </w:p>
    <w:p>
      <w:pPr>
        <w:spacing w:before="40" w:after="20" w:line="276" w:lineRule="auto"/>
        <w:pBdr>
          <w:bottom w:val="single" w:sz="6" w:space="3" w:color="D5D5D5"/>
        </w:pBdr>
      </w:pPr>
      <w:r>
        <w:rPr>
          <w:rFonts w:ascii="Calibri" w:hAnsi="Calibri" w:cs="Calibri"/>
          <w:b/>
          <w:i w:val="0"/>
          <w:color w:val="1A4A3A"/>
          <w:sz w:val="23"/>
          <w:rtl w:val="0"/>
        </w:rPr>
        <w:t>PROJECTS AND WORK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Research Paper — Adaptive Cybersecurity Awareness System (ACAS)</w:t>
      </w:r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An IEEE-format paper proposing a system that classifies staff into three risk profiles using a Decision Tree classifier (94% accuracy) and recommends tailored training from the NCA Haseen platform. Prototype built in Python and Streamlit.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Rootkit Detection through Kernel Temporal Anomalies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2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A statistical detection pipeline in Python: one-class baseline, Mahalanobis distance with chi-square p-values, and a 200-point threshold sweep. F1 = 0.999 at 0.2% FPR, fully reproducible.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The Role of Machine Learning in Enhancing IDS — Literature Review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9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A systematic survey of 20+ studies spanning classical and deep learning (CNN, LSTM, GANs) and Transformers (TabNet, RTIDS), with a comparative strengths/limitations table.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Cryptographic Architecture Analysis of WhatsApp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0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Technical analysis of end-to-end encryption: Curve25519, AES-256-GCM, and the Signal Protocol, with a critical assessment of metadata exposure.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Network Security Foundations — Detection, Access Control, and Policy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3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A 68-slide presentation covering five intrusion-detection approaches and multi-stage attack correlation.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Traveling Salesman Problem — Comparative Algorithm Analysis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1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Brute force O(n!) versus Held-Karp O(n²·2ⁿ): the same optimal route (450 km) at a 56.6× speed-up.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Mirsad Initiative &amp; School Planning/Tracking Suite — Production Web Applications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4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p>
      <w:pPr>
        <w:spacing w:before="0" w:after="10" w:line="252" w:lineRule="auto"/>
        <w:jc w:val="both"/>
      </w:pPr>
      <w:r>
        <w:rPr>
          <w:rFonts w:ascii="Calibri" w:hAnsi="Calibri" w:cs="Calibri"/>
          <w:b w:val="0"/>
          <w:i w:val="0"/>
          <w:color w:val="333333"/>
          <w:sz w:val="16"/>
          <w:rtl w:val="0"/>
        </w:rPr>
        <w:t>A tool linking every operational goal to its indicator and target with automated quality checks and QR evidence, plus a plans-tracking system (v4.3) with HMAC-SHA256 licensing. (Flask · SQLite)</w:t>
      </w:r>
    </w:p>
    <w:p>
      <w:pPr>
        <w:spacing w:before="30" w:after="0" w:line="276" w:lineRule="auto"/>
        <w:keepNext/>
      </w:pPr>
      <w:r>
        <w:rPr>
          <w:rFonts w:ascii="Calibri" w:hAnsi="Calibri" w:cs="Calibri"/>
          <w:b/>
          <w:i w:val="0"/>
          <w:color w:val="1A1A1A"/>
          <w:sz w:val="18"/>
          <w:rtl w:val="0"/>
        </w:rPr>
        <w:t>Itqan Initiative — Addressing knowledge decay via spaced repetition, gamified content creation and peer learning</w:t>
      </w:r>
      <w:r>
        <w:rPr>
          <w:rFonts w:ascii="Calibri" w:hAnsi="Calibri" w:cs="Calibri"/>
          <w:b w:val="0"/>
          <w:i w:val="0"/>
          <w:color w:val="333333"/>
          <w:sz w:val="18"/>
          <w:rtl w:val="0"/>
        </w:rPr>
        <w:t xml:space="preserve">   </w:t>
      </w:r>
      <w:hyperlink r:id="rId15">
        <w:r>
          <w:rPr>
            <w:rFonts w:ascii="Calibri" w:hAnsi="Calibri" w:cs="Calibri"/>
            <w:color w:val="1A4A3A"/>
            <w:u w:val="single"/>
            <w:sz w:val="16"/>
            <w:szCs w:val="16"/>
            <w:b/>
          </w:rPr>
          <w:t xml:space="preserve">View</w:t>
        </w:r>
      </w:hyperlink>
    </w:p>
    <w:sectPr w:rsidR="00FC693F" w:rsidRPr="0006063C" w:rsidSect="00034616">
      <w:pgSz w:w="12240" w:h="15840"/>
      <w:pgMar w:top="624" w:right="907" w:bottom="45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5-PfRnrBQgjkaIldNqNnPQeI_wqnDFR4/view" TargetMode="External"/><Relationship Id="rId10" Type="http://schemas.openxmlformats.org/officeDocument/2006/relationships/hyperlink" Target="https://drive.google.com/file/d/1GFS0cRezx2mAPlL0wHcC-Jj8bpz3ut7q/view" TargetMode="External"/><Relationship Id="rId11" Type="http://schemas.openxmlformats.org/officeDocument/2006/relationships/hyperlink" Target="https://drive.google.com/file/d/1IjhegKBpni3bm8LENWFYNUMCcmU_LWc_/view" TargetMode="External"/><Relationship Id="rId12" Type="http://schemas.openxmlformats.org/officeDocument/2006/relationships/hyperlink" Target="https://drive.google.com/file/d/1bcsWZBTm1IMyZPk861K9pRA2Td0iHdeN/view" TargetMode="External"/><Relationship Id="rId13" Type="http://schemas.openxmlformats.org/officeDocument/2006/relationships/hyperlink" Target="https://drive.google.com/file/d/1wRZdqUlOEDgQSR1BKkuXuuDPzty1-WKM/view" TargetMode="External"/><Relationship Id="rId14" Type="http://schemas.openxmlformats.org/officeDocument/2006/relationships/hyperlink" Target="https://drive.google.com/file/d/1lpPZsc0Lw1NPRQSNYy6zIRNSJaYVF7GZ/view" TargetMode="External"/><Relationship Id="rId15" Type="http://schemas.openxmlformats.org/officeDocument/2006/relationships/hyperlink" Target="https://drive.google.com/file/d/10wQTdyAmnKhvEhB6ABbTjjGcERu6BW-A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