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4230" w14:textId="5F12B67C" w:rsidR="0039540F" w:rsidRPr="004D45B5" w:rsidRDefault="0039540F" w:rsidP="004D45B5">
      <w:pPr>
        <w:rPr>
          <w:rFonts w:ascii="Times New Roman" w:hAnsi="Times New Roman" w:cs="Times New Roman"/>
          <w:b/>
          <w:bCs/>
          <w:sz w:val="32"/>
          <w:szCs w:val="32"/>
        </w:rPr>
      </w:pPr>
      <w:r w:rsidRPr="004D45B5">
        <w:rPr>
          <w:rFonts w:ascii="Times New Roman" w:hAnsi="Times New Roman" w:cs="Times New Roman"/>
          <w:b/>
          <w:bCs/>
          <w:sz w:val="32"/>
          <w:szCs w:val="32"/>
        </w:rPr>
        <w:t>FINM 359000 Macro Finance</w:t>
      </w:r>
      <w:r w:rsidR="004D45B5">
        <w:rPr>
          <w:rFonts w:ascii="Times New Roman" w:hAnsi="Times New Roman" w:cs="Times New Roman"/>
          <w:b/>
          <w:bCs/>
          <w:sz w:val="32"/>
          <w:szCs w:val="32"/>
        </w:rPr>
        <w:t xml:space="preserve"> -</w:t>
      </w:r>
      <w:r w:rsidRPr="004D45B5">
        <w:rPr>
          <w:rFonts w:ascii="Times New Roman" w:hAnsi="Times New Roman" w:cs="Times New Roman"/>
          <w:b/>
          <w:bCs/>
          <w:sz w:val="32"/>
          <w:szCs w:val="32"/>
        </w:rPr>
        <w:t>Problem Set 2</w:t>
      </w:r>
    </w:p>
    <w:p w14:paraId="4677F53E" w14:textId="635325EF" w:rsidR="0039540F" w:rsidRPr="00A62B79" w:rsidRDefault="0039540F" w:rsidP="004D45B5">
      <w:pPr>
        <w:spacing w:after="0"/>
        <w:rPr>
          <w:rFonts w:ascii="Times New Roman" w:hAnsi="Times New Roman" w:cs="Times New Roman"/>
          <w:b/>
          <w:bCs/>
        </w:rPr>
      </w:pPr>
      <w:r w:rsidRPr="00A62B79">
        <w:rPr>
          <w:rFonts w:ascii="Times New Roman" w:hAnsi="Times New Roman" w:cs="Times New Roman"/>
          <w:b/>
          <w:bCs/>
        </w:rPr>
        <w:t>Group Members:</w:t>
      </w:r>
    </w:p>
    <w:p w14:paraId="03082225" w14:textId="77777777" w:rsidR="0039540F" w:rsidRPr="0039540F" w:rsidRDefault="0039540F" w:rsidP="004D45B5">
      <w:pPr>
        <w:spacing w:after="0"/>
        <w:rPr>
          <w:rFonts w:ascii="Times New Roman" w:hAnsi="Times New Roman" w:cs="Times New Roman"/>
        </w:rPr>
      </w:pPr>
      <w:r w:rsidRPr="0039540F">
        <w:rPr>
          <w:rFonts w:ascii="Times New Roman" w:hAnsi="Times New Roman" w:cs="Times New Roman"/>
        </w:rPr>
        <w:t xml:space="preserve">- </w:t>
      </w:r>
      <w:proofErr w:type="spellStart"/>
      <w:r w:rsidRPr="0039540F">
        <w:rPr>
          <w:rFonts w:ascii="Times New Roman" w:hAnsi="Times New Roman" w:cs="Times New Roman"/>
        </w:rPr>
        <w:t>Hongsen</w:t>
      </w:r>
      <w:proofErr w:type="spellEnd"/>
      <w:r w:rsidRPr="0039540F">
        <w:rPr>
          <w:rFonts w:ascii="Times New Roman" w:hAnsi="Times New Roman" w:cs="Times New Roman"/>
        </w:rPr>
        <w:t xml:space="preserve"> (Henry) Fu</w:t>
      </w:r>
    </w:p>
    <w:p w14:paraId="6A129804" w14:textId="77777777" w:rsidR="0039540F" w:rsidRPr="0039540F" w:rsidRDefault="0039540F" w:rsidP="004D45B5">
      <w:pPr>
        <w:spacing w:after="0"/>
        <w:rPr>
          <w:rFonts w:ascii="Times New Roman" w:hAnsi="Times New Roman" w:cs="Times New Roman"/>
        </w:rPr>
      </w:pPr>
      <w:r w:rsidRPr="0039540F">
        <w:rPr>
          <w:rFonts w:ascii="Times New Roman" w:hAnsi="Times New Roman" w:cs="Times New Roman"/>
        </w:rPr>
        <w:t xml:space="preserve">- </w:t>
      </w:r>
      <w:proofErr w:type="spellStart"/>
      <w:r w:rsidRPr="0039540F">
        <w:rPr>
          <w:rFonts w:ascii="Times New Roman" w:hAnsi="Times New Roman" w:cs="Times New Roman"/>
        </w:rPr>
        <w:t>Huayu</w:t>
      </w:r>
      <w:proofErr w:type="spellEnd"/>
      <w:r w:rsidRPr="0039540F">
        <w:rPr>
          <w:rFonts w:ascii="Times New Roman" w:hAnsi="Times New Roman" w:cs="Times New Roman"/>
        </w:rPr>
        <w:t xml:space="preserve"> (Alaia) Zhu</w:t>
      </w:r>
    </w:p>
    <w:p w14:paraId="665EC298" w14:textId="77777777" w:rsidR="0039540F" w:rsidRPr="0039540F" w:rsidRDefault="0039540F" w:rsidP="004D45B5">
      <w:pPr>
        <w:spacing w:after="0"/>
        <w:rPr>
          <w:rFonts w:ascii="Times New Roman" w:hAnsi="Times New Roman" w:cs="Times New Roman"/>
        </w:rPr>
      </w:pPr>
      <w:r w:rsidRPr="0039540F">
        <w:rPr>
          <w:rFonts w:ascii="Times New Roman" w:hAnsi="Times New Roman" w:cs="Times New Roman"/>
        </w:rPr>
        <w:t>- Mange (Kevin) He</w:t>
      </w:r>
    </w:p>
    <w:p w14:paraId="487535ED" w14:textId="5C5C3CB3" w:rsidR="0039540F" w:rsidRDefault="0039540F" w:rsidP="004D45B5">
      <w:pPr>
        <w:spacing w:after="0"/>
        <w:rPr>
          <w:rFonts w:ascii="Times New Roman" w:hAnsi="Times New Roman" w:cs="Times New Roman"/>
        </w:rPr>
      </w:pPr>
      <w:r w:rsidRPr="0039540F">
        <w:rPr>
          <w:rFonts w:ascii="Times New Roman" w:hAnsi="Times New Roman" w:cs="Times New Roman"/>
        </w:rPr>
        <w:t xml:space="preserve">- </w:t>
      </w:r>
      <w:proofErr w:type="spellStart"/>
      <w:r w:rsidRPr="0039540F">
        <w:rPr>
          <w:rFonts w:ascii="Times New Roman" w:hAnsi="Times New Roman" w:cs="Times New Roman"/>
        </w:rPr>
        <w:t>Yuxuan</w:t>
      </w:r>
      <w:proofErr w:type="spellEnd"/>
      <w:r w:rsidRPr="0039540F">
        <w:rPr>
          <w:rFonts w:ascii="Times New Roman" w:hAnsi="Times New Roman" w:cs="Times New Roman"/>
        </w:rPr>
        <w:t xml:space="preserve"> (Ryan) Bai</w:t>
      </w:r>
    </w:p>
    <w:p w14:paraId="310D5EE2" w14:textId="77777777" w:rsidR="0039540F" w:rsidRDefault="0039540F" w:rsidP="004D45B5">
      <w:pPr>
        <w:rPr>
          <w:rFonts w:ascii="Times New Roman" w:hAnsi="Times New Roman" w:cs="Times New Roman"/>
        </w:rPr>
      </w:pPr>
    </w:p>
    <w:p w14:paraId="71D62003" w14:textId="46276275" w:rsidR="004D45B5" w:rsidRPr="00A62B79" w:rsidRDefault="004D45B5" w:rsidP="004D45B5">
      <w:pPr>
        <w:rPr>
          <w:rFonts w:ascii="Times New Roman" w:hAnsi="Times New Roman" w:cs="Times New Roman"/>
          <w:b/>
          <w:bCs/>
          <w:sz w:val="28"/>
          <w:szCs w:val="28"/>
        </w:rPr>
      </w:pPr>
      <w:r w:rsidRPr="00A62B79">
        <w:rPr>
          <w:rFonts w:ascii="Times New Roman" w:hAnsi="Times New Roman" w:cs="Times New Roman"/>
          <w:b/>
          <w:bCs/>
          <w:sz w:val="28"/>
          <w:szCs w:val="28"/>
        </w:rPr>
        <w:t xml:space="preserve">Part 1 </w:t>
      </w:r>
      <w:r w:rsidRPr="00A62B79">
        <w:rPr>
          <w:rFonts w:ascii="Times New Roman" w:hAnsi="Times New Roman" w:cs="Times New Roman"/>
          <w:b/>
          <w:bCs/>
          <w:sz w:val="28"/>
          <w:szCs w:val="28"/>
        </w:rPr>
        <w:t>Financial cycles</w:t>
      </w:r>
    </w:p>
    <w:p w14:paraId="6B50843A" w14:textId="6F81B3BA" w:rsidR="004D45B5" w:rsidRPr="004D45B5" w:rsidRDefault="004D45B5" w:rsidP="004D45B5">
      <w:pPr>
        <w:rPr>
          <w:rFonts w:ascii="Times New Roman" w:hAnsi="Times New Roman" w:cs="Times New Roman"/>
        </w:rPr>
      </w:pPr>
      <w:r w:rsidRPr="004D45B5">
        <w:rPr>
          <w:rFonts w:ascii="Times New Roman" w:hAnsi="Times New Roman" w:cs="Times New Roman"/>
        </w:rPr>
        <w:t>1. What is the market pricing to occur to the Federal Funds rate by end June 2025? Be</w:t>
      </w:r>
      <w:r>
        <w:rPr>
          <w:rFonts w:ascii="Times New Roman" w:hAnsi="Times New Roman" w:cs="Times New Roman"/>
        </w:rPr>
        <w:t xml:space="preserve"> </w:t>
      </w:r>
      <w:r w:rsidRPr="004D45B5">
        <w:rPr>
          <w:rFonts w:ascii="Times New Roman" w:hAnsi="Times New Roman" w:cs="Times New Roman"/>
        </w:rPr>
        <w:t>explicit about the numerical level it is priced to be at by end June 2025 and what this</w:t>
      </w:r>
      <w:r>
        <w:rPr>
          <w:rFonts w:ascii="Times New Roman" w:hAnsi="Times New Roman" w:cs="Times New Roman"/>
        </w:rPr>
        <w:t xml:space="preserve"> </w:t>
      </w:r>
      <w:r w:rsidRPr="004D45B5">
        <w:rPr>
          <w:rFonts w:ascii="Times New Roman" w:hAnsi="Times New Roman" w:cs="Times New Roman"/>
        </w:rPr>
        <w:t>implies about the number of interest rate cuts.</w:t>
      </w:r>
    </w:p>
    <w:p w14:paraId="61DD14A6" w14:textId="47400564" w:rsidR="004D45B5" w:rsidRPr="004D45B5" w:rsidRDefault="004D45B5" w:rsidP="004D45B5">
      <w:pPr>
        <w:rPr>
          <w:rFonts w:ascii="Times New Roman" w:hAnsi="Times New Roman" w:cs="Times New Roman"/>
        </w:rPr>
      </w:pPr>
      <w:r w:rsidRPr="004D45B5">
        <w:rPr>
          <w:rFonts w:ascii="Times New Roman" w:hAnsi="Times New Roman" w:cs="Times New Roman"/>
        </w:rPr>
        <w:t>2. What does history suggest about how investors may want to be invested in macro assets</w:t>
      </w:r>
      <w:r>
        <w:rPr>
          <w:rFonts w:ascii="Times New Roman" w:hAnsi="Times New Roman" w:cs="Times New Roman"/>
        </w:rPr>
        <w:t xml:space="preserve"> </w:t>
      </w:r>
      <w:r w:rsidRPr="004D45B5">
        <w:rPr>
          <w:rFonts w:ascii="Times New Roman" w:hAnsi="Times New Roman" w:cs="Times New Roman"/>
        </w:rPr>
        <w:t>over the next year as a result? Justify your answer quantitatively and specific about what</w:t>
      </w:r>
      <w:r>
        <w:rPr>
          <w:rFonts w:ascii="Times New Roman" w:hAnsi="Times New Roman" w:cs="Times New Roman"/>
        </w:rPr>
        <w:t xml:space="preserve"> </w:t>
      </w:r>
      <w:r w:rsidRPr="004D45B5">
        <w:rPr>
          <w:rFonts w:ascii="Times New Roman" w:hAnsi="Times New Roman" w:cs="Times New Roman"/>
        </w:rPr>
        <w:t>asset classes have typically benefited in these environments, which have not, and what</w:t>
      </w:r>
      <w:r>
        <w:rPr>
          <w:rFonts w:ascii="Times New Roman" w:hAnsi="Times New Roman" w:cs="Times New Roman"/>
        </w:rPr>
        <w:t xml:space="preserve"> </w:t>
      </w:r>
      <w:r w:rsidRPr="004D45B5">
        <w:rPr>
          <w:rFonts w:ascii="Times New Roman" w:hAnsi="Times New Roman" w:cs="Times New Roman"/>
        </w:rPr>
        <w:t>fraction of the time this has been true.</w:t>
      </w:r>
    </w:p>
    <w:p w14:paraId="796E0F4D" w14:textId="77777777" w:rsidR="004D45B5" w:rsidRPr="004D45B5" w:rsidRDefault="004D45B5" w:rsidP="004D45B5">
      <w:pPr>
        <w:rPr>
          <w:rFonts w:ascii="Times New Roman" w:hAnsi="Times New Roman" w:cs="Times New Roman"/>
        </w:rPr>
      </w:pPr>
      <w:r w:rsidRPr="004D45B5">
        <w:rPr>
          <w:rFonts w:ascii="Times New Roman" w:hAnsi="Times New Roman" w:cs="Times New Roman"/>
        </w:rPr>
        <w:t>3. Do you think your answer to (2) makes sense to extrapolate into how investors should</w:t>
      </w:r>
    </w:p>
    <w:p w14:paraId="0E4DE580" w14:textId="77777777" w:rsidR="004D45B5" w:rsidRPr="004D45B5" w:rsidRDefault="004D45B5" w:rsidP="004D45B5">
      <w:pPr>
        <w:rPr>
          <w:rFonts w:ascii="Times New Roman" w:hAnsi="Times New Roman" w:cs="Times New Roman"/>
        </w:rPr>
      </w:pPr>
      <w:r w:rsidRPr="004D45B5">
        <w:rPr>
          <w:rFonts w:ascii="Times New Roman" w:hAnsi="Times New Roman" w:cs="Times New Roman"/>
        </w:rPr>
        <w:t>behave right now? Why or why not?</w:t>
      </w:r>
    </w:p>
    <w:p w14:paraId="5D6A21F6" w14:textId="69526253" w:rsidR="004D45B5" w:rsidRPr="006478B9" w:rsidRDefault="004D45B5" w:rsidP="004D45B5">
      <w:pPr>
        <w:rPr>
          <w:rFonts w:ascii="Times New Roman" w:hAnsi="Times New Roman" w:cs="Times New Roman"/>
          <w:b/>
          <w:bCs/>
          <w:sz w:val="28"/>
          <w:szCs w:val="28"/>
        </w:rPr>
      </w:pPr>
      <w:r w:rsidRPr="006478B9">
        <w:rPr>
          <w:rFonts w:ascii="Times New Roman" w:hAnsi="Times New Roman" w:cs="Times New Roman"/>
          <w:b/>
          <w:bCs/>
          <w:sz w:val="28"/>
          <w:szCs w:val="28"/>
        </w:rPr>
        <w:t xml:space="preserve">Part 2 </w:t>
      </w:r>
      <w:r w:rsidRPr="006478B9">
        <w:rPr>
          <w:rFonts w:ascii="Times New Roman" w:hAnsi="Times New Roman" w:cs="Times New Roman"/>
          <w:b/>
          <w:bCs/>
          <w:sz w:val="28"/>
          <w:szCs w:val="28"/>
        </w:rPr>
        <w:t>Macro regimes</w:t>
      </w:r>
    </w:p>
    <w:p w14:paraId="2E4F63D0" w14:textId="4D54280C" w:rsidR="004D45B5" w:rsidRPr="004D45B5" w:rsidRDefault="004D45B5" w:rsidP="004D45B5">
      <w:pPr>
        <w:rPr>
          <w:rFonts w:ascii="Times New Roman" w:hAnsi="Times New Roman" w:cs="Times New Roman"/>
        </w:rPr>
      </w:pPr>
      <w:r w:rsidRPr="004D45B5">
        <w:rPr>
          <w:rFonts w:ascii="Times New Roman" w:hAnsi="Times New Roman" w:cs="Times New Roman"/>
        </w:rPr>
        <w:t>4. Choose two different1 macro variable data series you can get monthly data on that you</w:t>
      </w:r>
      <w:r>
        <w:rPr>
          <w:rFonts w:ascii="Times New Roman" w:hAnsi="Times New Roman" w:cs="Times New Roman"/>
        </w:rPr>
        <w:t xml:space="preserve"> </w:t>
      </w:r>
      <w:r w:rsidRPr="004D45B5">
        <w:rPr>
          <w:rFonts w:ascii="Times New Roman" w:hAnsi="Times New Roman" w:cs="Times New Roman"/>
        </w:rPr>
        <w:t>think matter for macro asset prices. Choose series that have data available since at least</w:t>
      </w:r>
      <w:r>
        <w:rPr>
          <w:rFonts w:ascii="Times New Roman" w:hAnsi="Times New Roman" w:cs="Times New Roman"/>
        </w:rPr>
        <w:t xml:space="preserve"> </w:t>
      </w:r>
      <w:r w:rsidRPr="004D45B5">
        <w:rPr>
          <w:rFonts w:ascii="Times New Roman" w:hAnsi="Times New Roman" w:cs="Times New Roman"/>
        </w:rPr>
        <w:t>1995 (you may look back further and will learn more in what follows if you do). Why do</w:t>
      </w:r>
      <w:r>
        <w:rPr>
          <w:rFonts w:ascii="Times New Roman" w:hAnsi="Times New Roman" w:cs="Times New Roman"/>
        </w:rPr>
        <w:t xml:space="preserve"> </w:t>
      </w:r>
      <w:r w:rsidRPr="004D45B5">
        <w:rPr>
          <w:rFonts w:ascii="Times New Roman" w:hAnsi="Times New Roman" w:cs="Times New Roman"/>
        </w:rPr>
        <w:t>you think they matter for macro asset prices, and how? (Be explicit, e.g., “when X</w:t>
      </w:r>
      <w:r>
        <w:rPr>
          <w:rFonts w:ascii="Times New Roman" w:hAnsi="Times New Roman" w:cs="Times New Roman"/>
        </w:rPr>
        <w:t xml:space="preserve"> </w:t>
      </w:r>
      <w:r w:rsidRPr="004D45B5">
        <w:rPr>
          <w:rFonts w:ascii="Times New Roman" w:hAnsi="Times New Roman" w:cs="Times New Roman"/>
        </w:rPr>
        <w:t>happens to variable Y, I would expect asset price Z to go in direction Q”.)</w:t>
      </w:r>
    </w:p>
    <w:p w14:paraId="5904646C" w14:textId="4CCB8A84" w:rsidR="004D45B5" w:rsidRPr="004D45B5" w:rsidRDefault="004D45B5" w:rsidP="004D45B5">
      <w:pPr>
        <w:rPr>
          <w:rFonts w:ascii="Times New Roman" w:hAnsi="Times New Roman" w:cs="Times New Roman"/>
        </w:rPr>
      </w:pPr>
      <w:r w:rsidRPr="004D45B5">
        <w:rPr>
          <w:rFonts w:ascii="Times New Roman" w:hAnsi="Times New Roman" w:cs="Times New Roman"/>
        </w:rPr>
        <w:t>5. Define macro regimes since 1995 using these data series. Characterize the regimes and</w:t>
      </w:r>
      <w:r>
        <w:rPr>
          <w:rFonts w:ascii="Times New Roman" w:hAnsi="Times New Roman" w:cs="Times New Roman"/>
        </w:rPr>
        <w:t xml:space="preserve"> </w:t>
      </w:r>
      <w:r w:rsidRPr="004D45B5">
        <w:rPr>
          <w:rFonts w:ascii="Times New Roman" w:hAnsi="Times New Roman" w:cs="Times New Roman"/>
        </w:rPr>
        <w:t>be explicit about dates.</w:t>
      </w:r>
    </w:p>
    <w:p w14:paraId="7C84A8A6" w14:textId="680A8DC2" w:rsidR="004D45B5" w:rsidRPr="004D45B5" w:rsidRDefault="004D45B5" w:rsidP="004D45B5">
      <w:pPr>
        <w:rPr>
          <w:rFonts w:ascii="Times New Roman" w:hAnsi="Times New Roman" w:cs="Times New Roman"/>
        </w:rPr>
      </w:pPr>
      <w:r w:rsidRPr="004D45B5">
        <w:rPr>
          <w:rFonts w:ascii="Times New Roman" w:hAnsi="Times New Roman" w:cs="Times New Roman"/>
        </w:rPr>
        <w:t>6. Quantitatively characterize macro asset performance (equity, government bonds,</w:t>
      </w:r>
      <w:r>
        <w:rPr>
          <w:rFonts w:ascii="Times New Roman" w:hAnsi="Times New Roman" w:cs="Times New Roman"/>
        </w:rPr>
        <w:t xml:space="preserve"> </w:t>
      </w:r>
      <w:r w:rsidRPr="004D45B5">
        <w:rPr>
          <w:rFonts w:ascii="Times New Roman" w:hAnsi="Times New Roman" w:cs="Times New Roman"/>
        </w:rPr>
        <w:t>commodities, credit) during the regimes you specify. What generalizations and</w:t>
      </w:r>
      <w:r>
        <w:rPr>
          <w:rFonts w:ascii="Times New Roman" w:hAnsi="Times New Roman" w:cs="Times New Roman"/>
        </w:rPr>
        <w:t xml:space="preserve"> </w:t>
      </w:r>
      <w:r w:rsidRPr="004D45B5">
        <w:rPr>
          <w:rFonts w:ascii="Times New Roman" w:hAnsi="Times New Roman" w:cs="Times New Roman"/>
        </w:rPr>
        <w:t>conclusions can you make about asset performance during different macro regimes, as</w:t>
      </w:r>
      <w:r>
        <w:rPr>
          <w:rFonts w:ascii="Times New Roman" w:hAnsi="Times New Roman" w:cs="Times New Roman"/>
        </w:rPr>
        <w:t xml:space="preserve"> </w:t>
      </w:r>
      <w:r w:rsidRPr="004D45B5">
        <w:rPr>
          <w:rFonts w:ascii="Times New Roman" w:hAnsi="Times New Roman" w:cs="Times New Roman"/>
        </w:rPr>
        <w:t>you have defined them? Why do you think these generalizations make sense or don’t</w:t>
      </w:r>
      <w:r>
        <w:rPr>
          <w:rFonts w:ascii="Times New Roman" w:hAnsi="Times New Roman" w:cs="Times New Roman"/>
        </w:rPr>
        <w:t xml:space="preserve"> </w:t>
      </w:r>
      <w:r w:rsidRPr="004D45B5">
        <w:rPr>
          <w:rFonts w:ascii="Times New Roman" w:hAnsi="Times New Roman" w:cs="Times New Roman"/>
        </w:rPr>
        <w:t>make sense?</w:t>
      </w:r>
    </w:p>
    <w:p w14:paraId="51911EB1" w14:textId="22F4D007" w:rsidR="004D45B5" w:rsidRPr="004D45B5" w:rsidRDefault="004D45B5" w:rsidP="004D45B5">
      <w:pPr>
        <w:rPr>
          <w:rFonts w:ascii="Times New Roman" w:hAnsi="Times New Roman" w:cs="Times New Roman"/>
        </w:rPr>
      </w:pPr>
      <w:r w:rsidRPr="004D45B5">
        <w:rPr>
          <w:rFonts w:ascii="Times New Roman" w:hAnsi="Times New Roman" w:cs="Times New Roman"/>
        </w:rPr>
        <w:t>7. Do you think you should use the same risk metrics during each macro regime to</w:t>
      </w:r>
      <w:r>
        <w:rPr>
          <w:rFonts w:ascii="Times New Roman" w:hAnsi="Times New Roman" w:cs="Times New Roman"/>
        </w:rPr>
        <w:t xml:space="preserve"> </w:t>
      </w:r>
      <w:r w:rsidRPr="004D45B5">
        <w:rPr>
          <w:rFonts w:ascii="Times New Roman" w:hAnsi="Times New Roman" w:cs="Times New Roman"/>
        </w:rPr>
        <w:t>characterize risk? Why or why not? If you should be considering different metrics, what</w:t>
      </w:r>
      <w:r>
        <w:rPr>
          <w:rFonts w:ascii="Times New Roman" w:hAnsi="Times New Roman" w:cs="Times New Roman"/>
        </w:rPr>
        <w:t xml:space="preserve"> </w:t>
      </w:r>
      <w:r w:rsidRPr="004D45B5">
        <w:rPr>
          <w:rFonts w:ascii="Times New Roman" w:hAnsi="Times New Roman" w:cs="Times New Roman"/>
        </w:rPr>
        <w:t>are they and when should you consider them?</w:t>
      </w:r>
    </w:p>
    <w:p w14:paraId="011C277D" w14:textId="1DC616F8" w:rsidR="004D45B5" w:rsidRPr="00843B70" w:rsidRDefault="004D45B5" w:rsidP="004D45B5">
      <w:pPr>
        <w:rPr>
          <w:rFonts w:ascii="Times New Roman" w:hAnsi="Times New Roman" w:cs="Times New Roman"/>
          <w:b/>
          <w:bCs/>
          <w:sz w:val="28"/>
          <w:szCs w:val="28"/>
        </w:rPr>
      </w:pPr>
      <w:r w:rsidRPr="00843B70">
        <w:rPr>
          <w:rFonts w:ascii="Times New Roman" w:hAnsi="Times New Roman" w:cs="Times New Roman"/>
          <w:b/>
          <w:bCs/>
          <w:sz w:val="28"/>
          <w:szCs w:val="28"/>
        </w:rPr>
        <w:t xml:space="preserve">Part 3 </w:t>
      </w:r>
      <w:r w:rsidRPr="00843B70">
        <w:rPr>
          <w:rFonts w:ascii="Times New Roman" w:hAnsi="Times New Roman" w:cs="Times New Roman"/>
          <w:b/>
          <w:bCs/>
          <w:sz w:val="28"/>
          <w:szCs w:val="28"/>
        </w:rPr>
        <w:t>Risk parity</w:t>
      </w:r>
    </w:p>
    <w:p w14:paraId="160BE8C3" w14:textId="77777777" w:rsidR="004D45B5" w:rsidRPr="00DF2F06" w:rsidRDefault="004D45B5" w:rsidP="004D45B5">
      <w:pPr>
        <w:rPr>
          <w:rFonts w:ascii="Times New Roman" w:hAnsi="Times New Roman" w:cs="Times New Roman"/>
          <w:b/>
          <w:bCs/>
        </w:rPr>
      </w:pPr>
      <w:r w:rsidRPr="00DF2F06">
        <w:rPr>
          <w:rFonts w:ascii="Times New Roman" w:hAnsi="Times New Roman" w:cs="Times New Roman"/>
          <w:b/>
          <w:bCs/>
        </w:rPr>
        <w:lastRenderedPageBreak/>
        <w:t>8. Observing correlations</w:t>
      </w:r>
    </w:p>
    <w:p w14:paraId="56CAD5A8" w14:textId="77777777" w:rsidR="0071051F" w:rsidRDefault="004D45B5" w:rsidP="0097355D">
      <w:pPr>
        <w:rPr>
          <w:rFonts w:ascii="Times New Roman" w:hAnsi="Times New Roman" w:cs="Times New Roman"/>
        </w:rPr>
      </w:pPr>
      <w:r w:rsidRPr="0071051F">
        <w:rPr>
          <w:rFonts w:ascii="Times New Roman" w:hAnsi="Times New Roman" w:cs="Times New Roman"/>
          <w:b/>
          <w:bCs/>
        </w:rPr>
        <w:t>a.</w:t>
      </w:r>
      <w:r w:rsidRPr="004D45B5">
        <w:rPr>
          <w:rFonts w:ascii="Times New Roman" w:hAnsi="Times New Roman" w:cs="Times New Roman"/>
        </w:rPr>
        <w:t xml:space="preserve"> </w:t>
      </w:r>
      <w:r w:rsidR="0071051F" w:rsidRPr="0071051F">
        <w:rPr>
          <w:rFonts w:ascii="Times New Roman" w:hAnsi="Times New Roman" w:cs="Times New Roman"/>
        </w:rPr>
        <w:t>Here, we utilized SPY as the proxy for US stocks instead of the commonly used SP500 (SPX), as it is a tradable ETF. This choice facilitates the construction of our portfolio and strategy in subsequent questions. The bonds selected are US 10-year bonds from HW1. Subsequently, we computed the weekly returns, factoring in business dates and holidays, and derived the full sample equity-bond return correlation spanning from 2000 to 2019. The correlation between SPY (representing US stocks) and US 10-year bonds (representing US bonds) is notably modest, approximately 0.3439. While they exhibit movements in the same direction, suggesting potential similar reactions to certain macro events, the correlation remains relatively low.</w:t>
      </w:r>
    </w:p>
    <w:p w14:paraId="096392D5" w14:textId="5D560F82" w:rsidR="0097355D" w:rsidRPr="0097355D" w:rsidRDefault="004D45B5" w:rsidP="0097355D">
      <w:pPr>
        <w:rPr>
          <w:rFonts w:ascii="Times New Roman" w:hAnsi="Times New Roman" w:cs="Times New Roman"/>
        </w:rPr>
      </w:pPr>
      <w:r w:rsidRPr="0097355D">
        <w:rPr>
          <w:rFonts w:ascii="Times New Roman" w:hAnsi="Times New Roman" w:cs="Times New Roman"/>
          <w:b/>
          <w:bCs/>
        </w:rPr>
        <w:t>b.</w:t>
      </w:r>
      <w:r w:rsidRPr="004D45B5">
        <w:rPr>
          <w:rFonts w:ascii="Times New Roman" w:hAnsi="Times New Roman" w:cs="Times New Roman"/>
        </w:rPr>
        <w:t xml:space="preserve"> </w:t>
      </w:r>
      <w:r w:rsidR="0097355D" w:rsidRPr="0097355D">
        <w:rPr>
          <w:rFonts w:ascii="Times New Roman" w:hAnsi="Times New Roman" w:cs="Times New Roman"/>
        </w:rPr>
        <w:t xml:space="preserve">The rolling 1-year correlation between equity (SPY) and bond returns from 2000 to 2019 shows not just a similar mean to the overall sample correlation, but also a high standard deviation, highlighting substantial fluctuations over time. These fluctuations range from a minimum of -0.6727 (2006-05-10) to a maximum of 0.8936 (2010-07-14). The visual pattern in the plot indicates a cyclical behavior in correlation, with periods of rising and falling every few years. However, the cycles do not have a fixed time range, reducing the predicting power. </w:t>
      </w:r>
    </w:p>
    <w:p w14:paraId="18E66BBC" w14:textId="77777777" w:rsidR="0097355D" w:rsidRDefault="0097355D" w:rsidP="0097355D">
      <w:pPr>
        <w:rPr>
          <w:rFonts w:ascii="Times New Roman" w:hAnsi="Times New Roman" w:cs="Times New Roman"/>
        </w:rPr>
      </w:pPr>
      <w:r w:rsidRPr="0097355D">
        <w:rPr>
          <w:rFonts w:ascii="Times New Roman" w:hAnsi="Times New Roman" w:cs="Times New Roman"/>
        </w:rPr>
        <w:t>For investors employing a risk parity strategy or generally employing a diversification strategy, understanding these correlation dynamics is crucial. Risk parity strategy involves allocating portfolio weights inversely proportional to asset risk, aiming for equal risk contribution from all assets. Given the volatile nature of equity-bond correlations, the expected risk contribution from these assets can change significantly, affecting the portfolio balance. During periods of rising correlation, bonds may offer less diversification benefit against equities, potentially increasing portfolio risk if not rebalanced accordingly. Conversely, periods of negative or low correlation enhance the effectiveness of bonds in providing a hedge against equity risk. Thus, continuous monitoring and dynamic adjustment of asset weights are essential for maintaining the intended risk parity across the portfolio. This approach not only helps in achieving a more stable risk profile but also in navigating through different macroeconomic conditions that might influence asset correlations.</w:t>
      </w:r>
    </w:p>
    <w:p w14:paraId="34BD90FF" w14:textId="6AA361A8" w:rsidR="004D45B5" w:rsidRPr="00460B66" w:rsidRDefault="004D45B5" w:rsidP="0097355D">
      <w:pPr>
        <w:rPr>
          <w:rFonts w:ascii="Times New Roman" w:hAnsi="Times New Roman" w:cs="Times New Roman"/>
          <w:b/>
          <w:bCs/>
        </w:rPr>
      </w:pPr>
      <w:r w:rsidRPr="00460B66">
        <w:rPr>
          <w:rFonts w:ascii="Times New Roman" w:hAnsi="Times New Roman" w:cs="Times New Roman"/>
          <w:b/>
          <w:bCs/>
        </w:rPr>
        <w:t>9. Historical performance</w:t>
      </w:r>
    </w:p>
    <w:p w14:paraId="16B919CE" w14:textId="76AFED62" w:rsidR="003026E5" w:rsidRPr="003026E5" w:rsidRDefault="004D45B5" w:rsidP="003026E5">
      <w:pPr>
        <w:rPr>
          <w:rFonts w:ascii="Times New Roman" w:hAnsi="Times New Roman" w:cs="Times New Roman"/>
        </w:rPr>
      </w:pPr>
      <w:r w:rsidRPr="00460B66">
        <w:rPr>
          <w:rFonts w:ascii="Times New Roman" w:hAnsi="Times New Roman" w:cs="Times New Roman"/>
          <w:b/>
          <w:bCs/>
        </w:rPr>
        <w:t>a</w:t>
      </w:r>
      <w:r w:rsidRPr="004D45B5">
        <w:rPr>
          <w:rFonts w:ascii="Times New Roman" w:hAnsi="Times New Roman" w:cs="Times New Roman"/>
        </w:rPr>
        <w:t xml:space="preserve">. </w:t>
      </w:r>
      <w:r w:rsidR="003026E5" w:rsidRPr="003026E5">
        <w:rPr>
          <w:rFonts w:ascii="Times New Roman" w:hAnsi="Times New Roman" w:cs="Times New Roman"/>
        </w:rPr>
        <w:t xml:space="preserve">The risk parity strategy setup logic: </w:t>
      </w:r>
    </w:p>
    <w:p w14:paraId="561FB4CC" w14:textId="4149A46A" w:rsidR="003026E5" w:rsidRPr="003026E5" w:rsidRDefault="003026E5" w:rsidP="003026E5">
      <w:pPr>
        <w:rPr>
          <w:rFonts w:ascii="Times New Roman" w:hAnsi="Times New Roman" w:cs="Times New Roman"/>
        </w:rPr>
      </w:pPr>
      <w:r w:rsidRPr="003026E5">
        <w:rPr>
          <w:rFonts w:ascii="Times New Roman" w:hAnsi="Times New Roman" w:cs="Times New Roman"/>
        </w:rPr>
        <w:t xml:space="preserve">We know that from portfolio class, risk of the portfolio is calculated by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i=1</m:t>
            </m:r>
          </m:sub>
          <m:sup>
            <m:r>
              <w:rPr>
                <w:rFonts w:ascii="Cambria Math" w:hAnsi="Cambria Math" w:cs="Times New Roman"/>
              </w:rPr>
              <m:t>n</m:t>
            </m:r>
          </m:sup>
        </m:sSubSup>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j=1</m:t>
            </m:r>
          </m:sub>
          <m:sup>
            <m:r>
              <w:rPr>
                <w:rFonts w:ascii="Cambria Math" w:hAnsi="Cambria Math" w:cs="Times New Roman"/>
              </w:rPr>
              <m:t>n</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+ 2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d>
              <m:dPr>
                <m:begChr m:val="{"/>
                <m:endChr m:val="}"/>
                <m:ctrlPr>
                  <w:rPr>
                    <w:rFonts w:ascii="Cambria Math" w:hAnsi="Cambria Math" w:cs="Times New Roman"/>
                    <w:i/>
                  </w:rPr>
                </m:ctrlPr>
              </m:dPr>
              <m:e>
                <m:r>
                  <w:rPr>
                    <w:rFonts w:ascii="Cambria Math" w:hAnsi="Cambria Math" w:cs="Times New Roman"/>
                  </w:rPr>
                  <m:t>i,j</m:t>
                </m:r>
              </m:e>
            </m:d>
          </m:sub>
        </m:sSub>
      </m:oMath>
      <w:r w:rsidRPr="003026E5">
        <w:rPr>
          <w:rFonts w:ascii="Times New Roman" w:hAnsi="Times New Roman" w:cs="Times New Roman"/>
        </w:rPr>
        <w:t>.</w:t>
      </w:r>
    </w:p>
    <w:p w14:paraId="1967E275" w14:textId="77777777" w:rsidR="003026E5" w:rsidRPr="003026E5" w:rsidRDefault="003026E5" w:rsidP="003026E5">
      <w:pPr>
        <w:rPr>
          <w:rFonts w:ascii="Times New Roman" w:hAnsi="Times New Roman" w:cs="Times New Roman"/>
        </w:rPr>
      </w:pPr>
    </w:p>
    <w:p w14:paraId="381A64A9" w14:textId="36609EC0" w:rsidR="003026E5" w:rsidRPr="003026E5" w:rsidRDefault="003026E5" w:rsidP="003026E5">
      <w:pPr>
        <w:rPr>
          <w:rFonts w:ascii="Times New Roman" w:hAnsi="Times New Roman" w:cs="Times New Roman"/>
        </w:rPr>
      </w:pPr>
      <w:r w:rsidRPr="003026E5">
        <w:rPr>
          <w:rFonts w:ascii="Times New Roman" w:hAnsi="Times New Roman" w:cs="Times New Roman"/>
        </w:rPr>
        <w:t xml:space="preserve">We then consider the marginal risk contribution, the contribution to total risk from each asset, adjusted for how assets interact through correlation. We adjust the weights and ensure that each asset contributes equally to the portfolio. </w:t>
      </w:r>
    </w:p>
    <w:p w14:paraId="769A12E8" w14:textId="6794856D" w:rsidR="00FD6897" w:rsidRDefault="003026E5" w:rsidP="003026E5">
      <w:pPr>
        <w:rPr>
          <w:rFonts w:ascii="Times New Roman" w:hAnsi="Times New Roman" w:cs="Times New Roman"/>
        </w:rPr>
      </w:pPr>
      <w:r w:rsidRPr="003026E5">
        <w:rPr>
          <w:rFonts w:ascii="Times New Roman" w:hAnsi="Times New Roman" w:cs="Times New Roman"/>
        </w:rPr>
        <w:lastRenderedPageBreak/>
        <w:t xml:space="preserve">After we constructed our strategy, we decide to adjust the weight every week beginning from Dec 29, </w:t>
      </w:r>
      <w:proofErr w:type="gramStart"/>
      <w:r w:rsidRPr="003026E5">
        <w:rPr>
          <w:rFonts w:ascii="Times New Roman" w:hAnsi="Times New Roman" w:cs="Times New Roman"/>
        </w:rPr>
        <w:t>2000</w:t>
      </w:r>
      <w:proofErr w:type="gramEnd"/>
      <w:r w:rsidRPr="003026E5">
        <w:rPr>
          <w:rFonts w:ascii="Times New Roman" w:hAnsi="Times New Roman" w:cs="Times New Roman"/>
        </w:rPr>
        <w:t xml:space="preserve"> to Dec 27, 2019. The average weight of the stock (SPY) is 0.556174, and the average weight of the </w:t>
      </w:r>
      <w:proofErr w:type="gramStart"/>
      <w:r w:rsidRPr="003026E5">
        <w:rPr>
          <w:rFonts w:ascii="Times New Roman" w:hAnsi="Times New Roman" w:cs="Times New Roman"/>
        </w:rPr>
        <w:t>bond(</w:t>
      </w:r>
      <w:proofErr w:type="gramEnd"/>
      <w:r w:rsidRPr="003026E5">
        <w:rPr>
          <w:rFonts w:ascii="Times New Roman" w:hAnsi="Times New Roman" w:cs="Times New Roman"/>
        </w:rPr>
        <w:t xml:space="preserve">US 10 year) is 0.443826. We can see over the 2000-2019 </w:t>
      </w:r>
      <w:proofErr w:type="gramStart"/>
      <w:r w:rsidRPr="003026E5">
        <w:rPr>
          <w:rFonts w:ascii="Times New Roman" w:hAnsi="Times New Roman" w:cs="Times New Roman"/>
        </w:rPr>
        <w:t>time period</w:t>
      </w:r>
      <w:proofErr w:type="gramEnd"/>
      <w:r w:rsidRPr="003026E5">
        <w:rPr>
          <w:rFonts w:ascii="Times New Roman" w:hAnsi="Times New Roman" w:cs="Times New Roman"/>
        </w:rPr>
        <w:t>, we slightly put more emphasize on SPY, but the weight of those two are quite balanced if looking at mean. However, if we take a closer look of the plot, we can see that the change of weight is quite frequent and volatile.</w:t>
      </w:r>
    </w:p>
    <w:p w14:paraId="18544A8C" w14:textId="77777777" w:rsidR="00C143EB" w:rsidRDefault="004D45B5" w:rsidP="004D45B5">
      <w:pPr>
        <w:rPr>
          <w:rFonts w:ascii="Times New Roman" w:hAnsi="Times New Roman" w:cs="Times New Roman"/>
        </w:rPr>
      </w:pPr>
      <w:r w:rsidRPr="00A146E8">
        <w:rPr>
          <w:rFonts w:ascii="Times New Roman" w:hAnsi="Times New Roman" w:cs="Times New Roman"/>
          <w:b/>
          <w:bCs/>
        </w:rPr>
        <w:t>b</w:t>
      </w:r>
      <w:r w:rsidRPr="004D45B5">
        <w:rPr>
          <w:rFonts w:ascii="Times New Roman" w:hAnsi="Times New Roman" w:cs="Times New Roman"/>
        </w:rPr>
        <w:t xml:space="preserve">. </w:t>
      </w:r>
      <w:r w:rsidR="00A146E8" w:rsidRPr="00A146E8">
        <w:rPr>
          <w:rFonts w:ascii="Times New Roman" w:hAnsi="Times New Roman" w:cs="Times New Roman"/>
        </w:rPr>
        <w:t xml:space="preserve">The average risk of the fund from 2000 to 2019 is roughly 0.442619. It increases and decreases cyclically over time. Since, we used the equal risk parity strategy before, the risk contribution should equally </w:t>
      </w:r>
      <w:r w:rsidR="00154FC7" w:rsidRPr="00A146E8">
        <w:rPr>
          <w:rFonts w:ascii="Times New Roman" w:hAnsi="Times New Roman" w:cs="Times New Roman"/>
        </w:rPr>
        <w:t>separate</w:t>
      </w:r>
      <w:r w:rsidR="00A146E8" w:rsidRPr="00A146E8">
        <w:rPr>
          <w:rFonts w:ascii="Times New Roman" w:hAnsi="Times New Roman" w:cs="Times New Roman"/>
        </w:rPr>
        <w:t xml:space="preserve"> to equity and bond. </w:t>
      </w:r>
    </w:p>
    <w:p w14:paraId="18FD1632" w14:textId="4A68A0E0" w:rsidR="00C143EB" w:rsidRPr="00C143EB" w:rsidRDefault="004D45B5" w:rsidP="00C143EB">
      <w:pPr>
        <w:rPr>
          <w:rFonts w:ascii="Times New Roman" w:hAnsi="Times New Roman" w:cs="Times New Roman"/>
        </w:rPr>
      </w:pPr>
      <w:r w:rsidRPr="00C143EB">
        <w:rPr>
          <w:rFonts w:ascii="Times New Roman" w:hAnsi="Times New Roman" w:cs="Times New Roman"/>
          <w:b/>
          <w:bCs/>
        </w:rPr>
        <w:t>c.</w:t>
      </w:r>
      <w:r w:rsidRPr="004D45B5">
        <w:rPr>
          <w:rFonts w:ascii="Times New Roman" w:hAnsi="Times New Roman" w:cs="Times New Roman"/>
        </w:rPr>
        <w:t xml:space="preserve"> </w:t>
      </w:r>
      <w:r w:rsidR="00C143EB" w:rsidRPr="00C143EB">
        <w:rPr>
          <w:rFonts w:ascii="Times New Roman" w:hAnsi="Times New Roman" w:cs="Times New Roman"/>
        </w:rPr>
        <w:t>From the analysis of rolling volatilities and portfolio risk statistics, it is evident that the individual asset classes of bonds and stocks exhibit higher mean volatilities compared to the aggregated portfolio risk. This observation underscores the effectiveness of the risk parity strategy in managing and reducing overall portfolio risk. Particularly, in times of heightened volatility for one asset class, risk parity plays a crucial role in mitigating the impact on the entire portfolio. The data indicates that both the maximum and minimum volatilities for the portfolio are consistently lower than those for individual asset classes, which illustrates the strategy’s capability in stabilizing return fluctuations over time.</w:t>
      </w:r>
    </w:p>
    <w:p w14:paraId="5727DC0A" w14:textId="2AF09209" w:rsidR="00C143EB" w:rsidRPr="00C143EB" w:rsidRDefault="00C143EB" w:rsidP="00C143EB">
      <w:pPr>
        <w:rPr>
          <w:rFonts w:ascii="Times New Roman" w:hAnsi="Times New Roman" w:cs="Times New Roman"/>
        </w:rPr>
      </w:pPr>
      <w:r w:rsidRPr="00C143EB">
        <w:rPr>
          <w:rFonts w:ascii="Times New Roman" w:hAnsi="Times New Roman" w:cs="Times New Roman"/>
        </w:rPr>
        <w:t>The plotted time series further demonstrates how the portfolio risk remains more stable and less prone to extreme fluctuations compared to individual asset volatilities. This stability is paramount in environments where predictability of asset class performance is low. By focusing on risk allocation rather than solely on expected returns, risk parity strategies aim to construct more resilient portfolios that can maintain steady performance across various market conditions.</w:t>
      </w:r>
    </w:p>
    <w:p w14:paraId="2F314DA4" w14:textId="77777777" w:rsidR="00C143EB" w:rsidRPr="00C143EB" w:rsidRDefault="00C143EB" w:rsidP="00C143EB">
      <w:pPr>
        <w:rPr>
          <w:rFonts w:ascii="Times New Roman" w:hAnsi="Times New Roman" w:cs="Times New Roman"/>
        </w:rPr>
      </w:pPr>
      <w:r w:rsidRPr="00C143EB">
        <w:rPr>
          <w:rFonts w:ascii="Times New Roman" w:hAnsi="Times New Roman" w:cs="Times New Roman"/>
        </w:rPr>
        <w:t>The observed volatilities of stocks and bonds sometimes peak synchronously, indicating similar reactions to macroeconomic events, while at other times, they do not align, likely reflecting differing sensitivities to various macroeconomic variables. This divergence in reaction underscores the benefit of a risk parity approach, as it allows for a balanced response to shifts in economic conditions, reducing overall exposure to systemic risks and enhancing portfolio robustness.</w:t>
      </w:r>
    </w:p>
    <w:p w14:paraId="656EAED6" w14:textId="117C5689" w:rsidR="004D45B5" w:rsidRPr="004D45B5" w:rsidRDefault="004D45B5" w:rsidP="004D45B5">
      <w:pPr>
        <w:rPr>
          <w:rFonts w:ascii="Times New Roman" w:hAnsi="Times New Roman" w:cs="Times New Roman"/>
        </w:rPr>
      </w:pPr>
    </w:p>
    <w:p w14:paraId="62363D87" w14:textId="77777777" w:rsidR="004D45B5" w:rsidRPr="001445EC" w:rsidRDefault="004D45B5" w:rsidP="004D45B5">
      <w:pPr>
        <w:rPr>
          <w:rFonts w:ascii="Times New Roman" w:hAnsi="Times New Roman" w:cs="Times New Roman"/>
          <w:b/>
          <w:bCs/>
        </w:rPr>
      </w:pPr>
      <w:r w:rsidRPr="001445EC">
        <w:rPr>
          <w:rFonts w:ascii="Times New Roman" w:hAnsi="Times New Roman" w:cs="Times New Roman"/>
          <w:b/>
          <w:bCs/>
        </w:rPr>
        <w:t>10. 2021 to the present</w:t>
      </w:r>
    </w:p>
    <w:p w14:paraId="47718C10" w14:textId="77777777" w:rsidR="00014040" w:rsidRDefault="004D45B5" w:rsidP="00014040">
      <w:pPr>
        <w:rPr>
          <w:rFonts w:ascii="Times New Roman" w:hAnsi="Times New Roman" w:cs="Times New Roman"/>
        </w:rPr>
      </w:pPr>
      <w:r w:rsidRPr="00154FC7">
        <w:rPr>
          <w:rFonts w:ascii="Times New Roman" w:hAnsi="Times New Roman" w:cs="Times New Roman"/>
          <w:b/>
          <w:bCs/>
        </w:rPr>
        <w:t>a.</w:t>
      </w:r>
      <w:r w:rsidRPr="004D45B5">
        <w:rPr>
          <w:rFonts w:ascii="Times New Roman" w:hAnsi="Times New Roman" w:cs="Times New Roman"/>
        </w:rPr>
        <w:t xml:space="preserve"> </w:t>
      </w:r>
      <w:r w:rsidR="00014040" w:rsidRPr="00014040">
        <w:rPr>
          <w:rFonts w:ascii="Times New Roman" w:hAnsi="Times New Roman" w:cs="Times New Roman"/>
        </w:rPr>
        <w:t>After 2022, the allocation to stocks significantly surpassed the allocation to bonds, suggesting increased volatility in the bond market relative to stocks. A closer examination of the line plot reveals that post-2022, bond volatility sharply exceeded that of stocks. Consequently, during this period, the portfolio's risk approached the lower volatility levels of stocks, indicating a divergence from previous strategies where bonds offered a stabilizing effect.</w:t>
      </w:r>
    </w:p>
    <w:p w14:paraId="355EA147" w14:textId="5D63599C" w:rsidR="00014040" w:rsidRPr="00014040" w:rsidRDefault="00014040" w:rsidP="00014040">
      <w:pPr>
        <w:rPr>
          <w:rFonts w:ascii="Times New Roman" w:hAnsi="Times New Roman" w:cs="Times New Roman"/>
        </w:rPr>
      </w:pPr>
      <w:r w:rsidRPr="00014040">
        <w:rPr>
          <w:rFonts w:ascii="Times New Roman" w:hAnsi="Times New Roman" w:cs="Times New Roman"/>
        </w:rPr>
        <w:lastRenderedPageBreak/>
        <w:t>This shift suggests that the risk parity strategy was less effective post-2023 compared to earlier periods. Analyzing the returns, we observe that the SPY (stock) returns were notably lower than those of bonds. This period highlights a critical challenge for the risk parity strategy: although it succeeded in reducing exposure to the heightened volatility of bonds by increasing stock allocation, it did not capitalize on higher returns from the less volatile but underperforming stock component.</w:t>
      </w:r>
    </w:p>
    <w:p w14:paraId="37200BA2" w14:textId="0A5DE282" w:rsidR="00154FC7" w:rsidRDefault="00014040" w:rsidP="00014040">
      <w:pPr>
        <w:rPr>
          <w:rFonts w:ascii="Times New Roman" w:hAnsi="Times New Roman" w:cs="Times New Roman"/>
        </w:rPr>
      </w:pPr>
      <w:r w:rsidRPr="00014040">
        <w:rPr>
          <w:rFonts w:ascii="Times New Roman" w:hAnsi="Times New Roman" w:cs="Times New Roman"/>
        </w:rPr>
        <w:t>Thus, while the strategy effectively adjusted for increased bond volatility by reallocating to stocks, it failed to enhance overall portfolio returns significantly. This outcome underscores the limitations of risk parity in scenarios where the less volatile asset class underperforms, thus not contributing positively to the portfolio's risk-return profile as anticipated.</w:t>
      </w:r>
    </w:p>
    <w:p w14:paraId="78FA066D" w14:textId="7AEA3098" w:rsidR="002944FE" w:rsidRPr="002944FE" w:rsidRDefault="004D45B5" w:rsidP="002944FE">
      <w:pPr>
        <w:rPr>
          <w:rFonts w:ascii="Times New Roman" w:hAnsi="Times New Roman" w:cs="Times New Roman"/>
        </w:rPr>
      </w:pPr>
      <w:r w:rsidRPr="00C0328B">
        <w:rPr>
          <w:rFonts w:ascii="Times New Roman" w:hAnsi="Times New Roman" w:cs="Times New Roman"/>
          <w:b/>
          <w:bCs/>
        </w:rPr>
        <w:t>b.</w:t>
      </w:r>
      <w:r w:rsidRPr="004D45B5">
        <w:rPr>
          <w:rFonts w:ascii="Times New Roman" w:hAnsi="Times New Roman" w:cs="Times New Roman"/>
        </w:rPr>
        <w:t xml:space="preserve"> </w:t>
      </w:r>
      <w:r w:rsidR="002944FE" w:rsidRPr="002944FE">
        <w:rPr>
          <w:rFonts w:ascii="Times New Roman" w:hAnsi="Times New Roman" w:cs="Times New Roman"/>
        </w:rPr>
        <w:t>From the analysis of the financial data from 2021 to the present, two key phenomena emerge that significantly influenced the risk parity strategy's effectiveness:</w:t>
      </w:r>
    </w:p>
    <w:p w14:paraId="2AD573B1" w14:textId="77777777" w:rsidR="002944FE" w:rsidRPr="002944FE" w:rsidRDefault="002944FE" w:rsidP="002944FE">
      <w:pPr>
        <w:rPr>
          <w:rFonts w:ascii="Times New Roman" w:hAnsi="Times New Roman" w:cs="Times New Roman"/>
        </w:rPr>
      </w:pPr>
      <w:r w:rsidRPr="002944FE">
        <w:rPr>
          <w:rFonts w:ascii="Times New Roman" w:hAnsi="Times New Roman" w:cs="Times New Roman"/>
        </w:rPr>
        <w:t>1. Lower Mean Returns for Stocks: During this period, stocks (SPY) exhibited lower mean returns compared to bonds. This underperformance in stocks suggests a diminished contribution to the portfolio’s overall growth, impacting the risk parity strategy’s ability to leverage equity investments for higher returns.</w:t>
      </w:r>
    </w:p>
    <w:p w14:paraId="53977356" w14:textId="05573BC5" w:rsidR="002944FE" w:rsidRPr="002944FE" w:rsidRDefault="002944FE" w:rsidP="002944FE">
      <w:pPr>
        <w:rPr>
          <w:rFonts w:ascii="Times New Roman" w:hAnsi="Times New Roman" w:cs="Times New Roman"/>
        </w:rPr>
      </w:pPr>
      <w:r w:rsidRPr="002944FE">
        <w:rPr>
          <w:rFonts w:ascii="Times New Roman" w:hAnsi="Times New Roman" w:cs="Times New Roman"/>
        </w:rPr>
        <w:t>2. Higher Mean Volatility for Bonds: Simultaneously, bonds experienced significantly higher mean volatility than stocks. This increased volatility in bonds is atypical, as bonds are generally considered more stable investments compared to stocks. The higher volatility in bonds necessitated a strategic shift in asset allocation to mitigate risk, leading to increased weight in the relatively more stable stocks.</w:t>
      </w:r>
    </w:p>
    <w:p w14:paraId="07B783BB" w14:textId="7E9CB47A" w:rsidR="002944FE" w:rsidRPr="002944FE" w:rsidRDefault="002944FE" w:rsidP="002944FE">
      <w:pPr>
        <w:rPr>
          <w:rFonts w:ascii="Times New Roman" w:hAnsi="Times New Roman" w:cs="Times New Roman"/>
        </w:rPr>
      </w:pPr>
      <w:r w:rsidRPr="002944FE">
        <w:rPr>
          <w:rFonts w:ascii="Times New Roman" w:hAnsi="Times New Roman" w:cs="Times New Roman"/>
        </w:rPr>
        <w:t>The correlation coefficient between SPY and bonds during this period was −0.2550, indicating a mild inverse relationship. This negative correlation suggests that when stocks were underperforming (i.e., lower returns), bonds did not necessarily perform inversely proportional to expectations, which is typically hoped for in a diversification strategy.</w:t>
      </w:r>
    </w:p>
    <w:p w14:paraId="4CD7160E" w14:textId="5CC4AA33" w:rsidR="002944FE" w:rsidRPr="002944FE" w:rsidRDefault="002944FE" w:rsidP="002944FE">
      <w:pPr>
        <w:rPr>
          <w:rFonts w:ascii="Times New Roman" w:hAnsi="Times New Roman" w:cs="Times New Roman"/>
        </w:rPr>
      </w:pPr>
      <w:r w:rsidRPr="002944FE">
        <w:rPr>
          <w:rFonts w:ascii="Times New Roman" w:hAnsi="Times New Roman" w:cs="Times New Roman"/>
        </w:rPr>
        <w:t>The rolling correlation data further indicates that the negative correlation between SPY and bonds persisted longer than in previous periods. This prolonged negative correlation implies that the protective hedging effect of bonds when stocks decline was less effective.</w:t>
      </w:r>
    </w:p>
    <w:p w14:paraId="2F67F40D" w14:textId="727605C1" w:rsidR="004D45B5" w:rsidRPr="004D45B5" w:rsidRDefault="002944FE" w:rsidP="002944FE">
      <w:pPr>
        <w:rPr>
          <w:rFonts w:ascii="Times New Roman" w:hAnsi="Times New Roman" w:cs="Times New Roman"/>
        </w:rPr>
      </w:pPr>
      <w:r w:rsidRPr="002944FE">
        <w:rPr>
          <w:rFonts w:ascii="Times New Roman" w:hAnsi="Times New Roman" w:cs="Times New Roman"/>
        </w:rPr>
        <w:t>The enduring negative correlation coupled with high volatility in bonds complicates the risk parity strategy. Traditionally, risk parity aims to allocate risk equally among various asset classes based on their volatility. However, with bonds becoming more volatile and less negatively correlated with underperforming stocks, the strategy's usual mechanism of balancing risk through diversification and hedging becomes less efficient. Therefore, the risk parity strategy had to increase allocations to stocks, despite their lower returns, to manage the unexpected higher risk from bonds. The benefit of diversification was undermined by the simultaneous poor performance and reduced negative correlation, leading to challenges in achieving a balanced risk-return profile for the portfolio.</w:t>
      </w:r>
    </w:p>
    <w:p w14:paraId="3B543C46" w14:textId="77777777" w:rsidR="009432D3" w:rsidRPr="009432D3" w:rsidRDefault="004D45B5" w:rsidP="009432D3">
      <w:pPr>
        <w:rPr>
          <w:rFonts w:ascii="Times New Roman" w:hAnsi="Times New Roman" w:cs="Times New Roman"/>
        </w:rPr>
      </w:pPr>
      <w:r w:rsidRPr="009432D3">
        <w:rPr>
          <w:rFonts w:ascii="Times New Roman" w:hAnsi="Times New Roman" w:cs="Times New Roman"/>
          <w:b/>
          <w:bCs/>
        </w:rPr>
        <w:lastRenderedPageBreak/>
        <w:t>c.</w:t>
      </w:r>
      <w:r w:rsidRPr="004D45B5">
        <w:rPr>
          <w:rFonts w:ascii="Times New Roman" w:hAnsi="Times New Roman" w:cs="Times New Roman"/>
        </w:rPr>
        <w:t xml:space="preserve"> </w:t>
      </w:r>
      <w:r w:rsidR="009432D3" w:rsidRPr="009432D3">
        <w:rPr>
          <w:rFonts w:ascii="Times New Roman" w:hAnsi="Times New Roman" w:cs="Times New Roman"/>
        </w:rPr>
        <w:t>1. Funds may need to consider a more dynamic assessment of asset behaviors and not strictly adhere to traditional asset role assignments in their strategies.</w:t>
      </w:r>
    </w:p>
    <w:p w14:paraId="29991B07" w14:textId="77777777" w:rsidR="009432D3" w:rsidRPr="009432D3" w:rsidRDefault="009432D3" w:rsidP="009432D3">
      <w:pPr>
        <w:rPr>
          <w:rFonts w:ascii="Times New Roman" w:hAnsi="Times New Roman" w:cs="Times New Roman"/>
        </w:rPr>
      </w:pPr>
      <w:r w:rsidRPr="009432D3">
        <w:rPr>
          <w:rFonts w:ascii="Times New Roman" w:hAnsi="Times New Roman" w:cs="Times New Roman"/>
        </w:rPr>
        <w:t>2. The prolonged negative correlation between stocks and bonds, diverging from expected inverse movements, emphasizes the importance of enhanced monitoring of correlations. Risk parity funds should integrate advanced analytical tools that can detect and respond to changes in correlation in real-time or near-real-time, enabling quicker strategy adjustments.</w:t>
      </w:r>
    </w:p>
    <w:p w14:paraId="6ED6511B" w14:textId="7FE4AF62" w:rsidR="0039540F" w:rsidRPr="0039540F" w:rsidRDefault="009432D3" w:rsidP="0094522E">
      <w:pPr>
        <w:rPr>
          <w:rFonts w:ascii="Times New Roman" w:hAnsi="Times New Roman" w:cs="Times New Roman"/>
        </w:rPr>
      </w:pPr>
      <w:r w:rsidRPr="009432D3">
        <w:rPr>
          <w:rFonts w:ascii="Times New Roman" w:hAnsi="Times New Roman" w:cs="Times New Roman"/>
        </w:rPr>
        <w:t>3. Expanding beyond traditional stocks and bonds to include other asset classes such as commodities, real estate, or emerging market equities could provide additional layers of diversification. This diversification can help mitigate risks when traditional assets behave outside their typical historical patterns.</w:t>
      </w:r>
    </w:p>
    <w:sectPr w:rsidR="0039540F" w:rsidRPr="00395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0F"/>
    <w:rsid w:val="00014040"/>
    <w:rsid w:val="001445EC"/>
    <w:rsid w:val="00154FC7"/>
    <w:rsid w:val="002944FE"/>
    <w:rsid w:val="003026E5"/>
    <w:rsid w:val="003736A4"/>
    <w:rsid w:val="0039540F"/>
    <w:rsid w:val="00441704"/>
    <w:rsid w:val="00460B66"/>
    <w:rsid w:val="004D45B5"/>
    <w:rsid w:val="005A1706"/>
    <w:rsid w:val="006478B9"/>
    <w:rsid w:val="0071051F"/>
    <w:rsid w:val="00843B70"/>
    <w:rsid w:val="00875EB4"/>
    <w:rsid w:val="0088143C"/>
    <w:rsid w:val="009432D3"/>
    <w:rsid w:val="0094522E"/>
    <w:rsid w:val="0097355D"/>
    <w:rsid w:val="00975C43"/>
    <w:rsid w:val="00A146E8"/>
    <w:rsid w:val="00A62B79"/>
    <w:rsid w:val="00BD1A0B"/>
    <w:rsid w:val="00BF7F30"/>
    <w:rsid w:val="00C0328B"/>
    <w:rsid w:val="00C143EB"/>
    <w:rsid w:val="00D51F8B"/>
    <w:rsid w:val="00DF2F06"/>
    <w:rsid w:val="00F16CBF"/>
    <w:rsid w:val="00FA0747"/>
    <w:rsid w:val="00FD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7BB963"/>
  <w15:chartTrackingRefBased/>
  <w15:docId w15:val="{78BC2B09-C2D5-564E-90F7-11C5E403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40F"/>
    <w:rPr>
      <w:rFonts w:eastAsiaTheme="majorEastAsia" w:cstheme="majorBidi"/>
      <w:color w:val="272727" w:themeColor="text1" w:themeTint="D8"/>
    </w:rPr>
  </w:style>
  <w:style w:type="paragraph" w:styleId="Title">
    <w:name w:val="Title"/>
    <w:basedOn w:val="Normal"/>
    <w:next w:val="Normal"/>
    <w:link w:val="TitleChar"/>
    <w:uiPriority w:val="10"/>
    <w:qFormat/>
    <w:rsid w:val="0039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40F"/>
    <w:pPr>
      <w:spacing w:before="160"/>
      <w:jc w:val="center"/>
    </w:pPr>
    <w:rPr>
      <w:i/>
      <w:iCs/>
      <w:color w:val="404040" w:themeColor="text1" w:themeTint="BF"/>
    </w:rPr>
  </w:style>
  <w:style w:type="character" w:customStyle="1" w:styleId="QuoteChar">
    <w:name w:val="Quote Char"/>
    <w:basedOn w:val="DefaultParagraphFont"/>
    <w:link w:val="Quote"/>
    <w:uiPriority w:val="29"/>
    <w:rsid w:val="0039540F"/>
    <w:rPr>
      <w:i/>
      <w:iCs/>
      <w:color w:val="404040" w:themeColor="text1" w:themeTint="BF"/>
    </w:rPr>
  </w:style>
  <w:style w:type="paragraph" w:styleId="ListParagraph">
    <w:name w:val="List Paragraph"/>
    <w:basedOn w:val="Normal"/>
    <w:uiPriority w:val="34"/>
    <w:qFormat/>
    <w:rsid w:val="0039540F"/>
    <w:pPr>
      <w:ind w:left="720"/>
      <w:contextualSpacing/>
    </w:pPr>
  </w:style>
  <w:style w:type="character" w:styleId="IntenseEmphasis">
    <w:name w:val="Intense Emphasis"/>
    <w:basedOn w:val="DefaultParagraphFont"/>
    <w:uiPriority w:val="21"/>
    <w:qFormat/>
    <w:rsid w:val="0039540F"/>
    <w:rPr>
      <w:i/>
      <w:iCs/>
      <w:color w:val="0F4761" w:themeColor="accent1" w:themeShade="BF"/>
    </w:rPr>
  </w:style>
  <w:style w:type="paragraph" w:styleId="IntenseQuote">
    <w:name w:val="Intense Quote"/>
    <w:basedOn w:val="Normal"/>
    <w:next w:val="Normal"/>
    <w:link w:val="IntenseQuoteChar"/>
    <w:uiPriority w:val="30"/>
    <w:qFormat/>
    <w:rsid w:val="0039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40F"/>
    <w:rPr>
      <w:i/>
      <w:iCs/>
      <w:color w:val="0F4761" w:themeColor="accent1" w:themeShade="BF"/>
    </w:rPr>
  </w:style>
  <w:style w:type="character" w:styleId="IntenseReference">
    <w:name w:val="Intense Reference"/>
    <w:basedOn w:val="DefaultParagraphFont"/>
    <w:uiPriority w:val="32"/>
    <w:qFormat/>
    <w:rsid w:val="00395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0944">
      <w:bodyDiv w:val="1"/>
      <w:marLeft w:val="0"/>
      <w:marRight w:val="0"/>
      <w:marTop w:val="0"/>
      <w:marBottom w:val="0"/>
      <w:divBdr>
        <w:top w:val="none" w:sz="0" w:space="0" w:color="auto"/>
        <w:left w:val="none" w:sz="0" w:space="0" w:color="auto"/>
        <w:bottom w:val="none" w:sz="0" w:space="0" w:color="auto"/>
        <w:right w:val="none" w:sz="0" w:space="0" w:color="auto"/>
      </w:divBdr>
    </w:div>
    <w:div w:id="823089663">
      <w:bodyDiv w:val="1"/>
      <w:marLeft w:val="0"/>
      <w:marRight w:val="0"/>
      <w:marTop w:val="0"/>
      <w:marBottom w:val="0"/>
      <w:divBdr>
        <w:top w:val="none" w:sz="0" w:space="0" w:color="auto"/>
        <w:left w:val="none" w:sz="0" w:space="0" w:color="auto"/>
        <w:bottom w:val="none" w:sz="0" w:space="0" w:color="auto"/>
        <w:right w:val="none" w:sz="0" w:space="0" w:color="auto"/>
      </w:divBdr>
      <w:divsChild>
        <w:div w:id="817720816">
          <w:marLeft w:val="0"/>
          <w:marRight w:val="0"/>
          <w:marTop w:val="0"/>
          <w:marBottom w:val="0"/>
          <w:divBdr>
            <w:top w:val="none" w:sz="0" w:space="0" w:color="auto"/>
            <w:left w:val="none" w:sz="0" w:space="0" w:color="auto"/>
            <w:bottom w:val="none" w:sz="0" w:space="0" w:color="auto"/>
            <w:right w:val="none" w:sz="0" w:space="0" w:color="auto"/>
          </w:divBdr>
          <w:divsChild>
            <w:div w:id="314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999">
      <w:bodyDiv w:val="1"/>
      <w:marLeft w:val="0"/>
      <w:marRight w:val="0"/>
      <w:marTop w:val="0"/>
      <w:marBottom w:val="0"/>
      <w:divBdr>
        <w:top w:val="none" w:sz="0" w:space="0" w:color="auto"/>
        <w:left w:val="none" w:sz="0" w:space="0" w:color="auto"/>
        <w:bottom w:val="none" w:sz="0" w:space="0" w:color="auto"/>
        <w:right w:val="none" w:sz="0" w:space="0" w:color="auto"/>
      </w:divBdr>
      <w:divsChild>
        <w:div w:id="1872911631">
          <w:marLeft w:val="0"/>
          <w:marRight w:val="0"/>
          <w:marTop w:val="0"/>
          <w:marBottom w:val="0"/>
          <w:divBdr>
            <w:top w:val="none" w:sz="0" w:space="0" w:color="auto"/>
            <w:left w:val="none" w:sz="0" w:space="0" w:color="auto"/>
            <w:bottom w:val="none" w:sz="0" w:space="0" w:color="auto"/>
            <w:right w:val="none" w:sz="0" w:space="0" w:color="auto"/>
          </w:divBdr>
          <w:divsChild>
            <w:div w:id="13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710">
      <w:bodyDiv w:val="1"/>
      <w:marLeft w:val="0"/>
      <w:marRight w:val="0"/>
      <w:marTop w:val="0"/>
      <w:marBottom w:val="0"/>
      <w:divBdr>
        <w:top w:val="none" w:sz="0" w:space="0" w:color="auto"/>
        <w:left w:val="none" w:sz="0" w:space="0" w:color="auto"/>
        <w:bottom w:val="none" w:sz="0" w:space="0" w:color="auto"/>
        <w:right w:val="none" w:sz="0" w:space="0" w:color="auto"/>
      </w:divBdr>
      <w:divsChild>
        <w:div w:id="1343363859">
          <w:marLeft w:val="0"/>
          <w:marRight w:val="0"/>
          <w:marTop w:val="0"/>
          <w:marBottom w:val="0"/>
          <w:divBdr>
            <w:top w:val="none" w:sz="0" w:space="0" w:color="auto"/>
            <w:left w:val="none" w:sz="0" w:space="0" w:color="auto"/>
            <w:bottom w:val="none" w:sz="0" w:space="0" w:color="auto"/>
            <w:right w:val="none" w:sz="0" w:space="0" w:color="auto"/>
          </w:divBdr>
          <w:divsChild>
            <w:div w:id="336815159">
              <w:marLeft w:val="0"/>
              <w:marRight w:val="0"/>
              <w:marTop w:val="0"/>
              <w:marBottom w:val="0"/>
              <w:divBdr>
                <w:top w:val="none" w:sz="0" w:space="0" w:color="auto"/>
                <w:left w:val="none" w:sz="0" w:space="0" w:color="auto"/>
                <w:bottom w:val="none" w:sz="0" w:space="0" w:color="auto"/>
                <w:right w:val="none" w:sz="0" w:space="0" w:color="auto"/>
              </w:divBdr>
            </w:div>
            <w:div w:id="1161044724">
              <w:marLeft w:val="0"/>
              <w:marRight w:val="0"/>
              <w:marTop w:val="0"/>
              <w:marBottom w:val="0"/>
              <w:divBdr>
                <w:top w:val="none" w:sz="0" w:space="0" w:color="auto"/>
                <w:left w:val="none" w:sz="0" w:space="0" w:color="auto"/>
                <w:bottom w:val="none" w:sz="0" w:space="0" w:color="auto"/>
                <w:right w:val="none" w:sz="0" w:space="0" w:color="auto"/>
              </w:divBdr>
            </w:div>
            <w:div w:id="207298514">
              <w:marLeft w:val="0"/>
              <w:marRight w:val="0"/>
              <w:marTop w:val="0"/>
              <w:marBottom w:val="0"/>
              <w:divBdr>
                <w:top w:val="none" w:sz="0" w:space="0" w:color="auto"/>
                <w:left w:val="none" w:sz="0" w:space="0" w:color="auto"/>
                <w:bottom w:val="none" w:sz="0" w:space="0" w:color="auto"/>
                <w:right w:val="none" w:sz="0" w:space="0" w:color="auto"/>
              </w:divBdr>
            </w:div>
            <w:div w:id="11640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1816">
      <w:bodyDiv w:val="1"/>
      <w:marLeft w:val="0"/>
      <w:marRight w:val="0"/>
      <w:marTop w:val="0"/>
      <w:marBottom w:val="0"/>
      <w:divBdr>
        <w:top w:val="none" w:sz="0" w:space="0" w:color="auto"/>
        <w:left w:val="none" w:sz="0" w:space="0" w:color="auto"/>
        <w:bottom w:val="none" w:sz="0" w:space="0" w:color="auto"/>
        <w:right w:val="none" w:sz="0" w:space="0" w:color="auto"/>
      </w:divBdr>
    </w:div>
    <w:div w:id="1211725034">
      <w:bodyDiv w:val="1"/>
      <w:marLeft w:val="0"/>
      <w:marRight w:val="0"/>
      <w:marTop w:val="0"/>
      <w:marBottom w:val="0"/>
      <w:divBdr>
        <w:top w:val="none" w:sz="0" w:space="0" w:color="auto"/>
        <w:left w:val="none" w:sz="0" w:space="0" w:color="auto"/>
        <w:bottom w:val="none" w:sz="0" w:space="0" w:color="auto"/>
        <w:right w:val="none" w:sz="0" w:space="0" w:color="auto"/>
      </w:divBdr>
      <w:divsChild>
        <w:div w:id="700326439">
          <w:marLeft w:val="0"/>
          <w:marRight w:val="0"/>
          <w:marTop w:val="0"/>
          <w:marBottom w:val="0"/>
          <w:divBdr>
            <w:top w:val="none" w:sz="0" w:space="0" w:color="auto"/>
            <w:left w:val="none" w:sz="0" w:space="0" w:color="auto"/>
            <w:bottom w:val="none" w:sz="0" w:space="0" w:color="auto"/>
            <w:right w:val="none" w:sz="0" w:space="0" w:color="auto"/>
          </w:divBdr>
          <w:divsChild>
            <w:div w:id="221909866">
              <w:marLeft w:val="0"/>
              <w:marRight w:val="0"/>
              <w:marTop w:val="0"/>
              <w:marBottom w:val="0"/>
              <w:divBdr>
                <w:top w:val="none" w:sz="0" w:space="0" w:color="auto"/>
                <w:left w:val="none" w:sz="0" w:space="0" w:color="auto"/>
                <w:bottom w:val="none" w:sz="0" w:space="0" w:color="auto"/>
                <w:right w:val="none" w:sz="0" w:space="0" w:color="auto"/>
              </w:divBdr>
            </w:div>
            <w:div w:id="1346790959">
              <w:marLeft w:val="0"/>
              <w:marRight w:val="0"/>
              <w:marTop w:val="0"/>
              <w:marBottom w:val="0"/>
              <w:divBdr>
                <w:top w:val="none" w:sz="0" w:space="0" w:color="auto"/>
                <w:left w:val="none" w:sz="0" w:space="0" w:color="auto"/>
                <w:bottom w:val="none" w:sz="0" w:space="0" w:color="auto"/>
                <w:right w:val="none" w:sz="0" w:space="0" w:color="auto"/>
              </w:divBdr>
            </w:div>
            <w:div w:id="9101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8049">
      <w:bodyDiv w:val="1"/>
      <w:marLeft w:val="0"/>
      <w:marRight w:val="0"/>
      <w:marTop w:val="0"/>
      <w:marBottom w:val="0"/>
      <w:divBdr>
        <w:top w:val="none" w:sz="0" w:space="0" w:color="auto"/>
        <w:left w:val="none" w:sz="0" w:space="0" w:color="auto"/>
        <w:bottom w:val="none" w:sz="0" w:space="0" w:color="auto"/>
        <w:right w:val="none" w:sz="0" w:space="0" w:color="auto"/>
      </w:divBdr>
      <w:divsChild>
        <w:div w:id="1062365860">
          <w:marLeft w:val="0"/>
          <w:marRight w:val="0"/>
          <w:marTop w:val="0"/>
          <w:marBottom w:val="0"/>
          <w:divBdr>
            <w:top w:val="none" w:sz="0" w:space="0" w:color="auto"/>
            <w:left w:val="none" w:sz="0" w:space="0" w:color="auto"/>
            <w:bottom w:val="none" w:sz="0" w:space="0" w:color="auto"/>
            <w:right w:val="none" w:sz="0" w:space="0" w:color="auto"/>
          </w:divBdr>
          <w:divsChild>
            <w:div w:id="12664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971">
      <w:bodyDiv w:val="1"/>
      <w:marLeft w:val="0"/>
      <w:marRight w:val="0"/>
      <w:marTop w:val="0"/>
      <w:marBottom w:val="0"/>
      <w:divBdr>
        <w:top w:val="none" w:sz="0" w:space="0" w:color="auto"/>
        <w:left w:val="none" w:sz="0" w:space="0" w:color="auto"/>
        <w:bottom w:val="none" w:sz="0" w:space="0" w:color="auto"/>
        <w:right w:val="none" w:sz="0" w:space="0" w:color="auto"/>
      </w:divBdr>
      <w:divsChild>
        <w:div w:id="1587418829">
          <w:marLeft w:val="0"/>
          <w:marRight w:val="0"/>
          <w:marTop w:val="0"/>
          <w:marBottom w:val="0"/>
          <w:divBdr>
            <w:top w:val="none" w:sz="0" w:space="0" w:color="auto"/>
            <w:left w:val="none" w:sz="0" w:space="0" w:color="auto"/>
            <w:bottom w:val="none" w:sz="0" w:space="0" w:color="auto"/>
            <w:right w:val="none" w:sz="0" w:space="0" w:color="auto"/>
          </w:divBdr>
          <w:divsChild>
            <w:div w:id="1908606472">
              <w:marLeft w:val="0"/>
              <w:marRight w:val="0"/>
              <w:marTop w:val="0"/>
              <w:marBottom w:val="0"/>
              <w:divBdr>
                <w:top w:val="none" w:sz="0" w:space="0" w:color="auto"/>
                <w:left w:val="none" w:sz="0" w:space="0" w:color="auto"/>
                <w:bottom w:val="none" w:sz="0" w:space="0" w:color="auto"/>
                <w:right w:val="none" w:sz="0" w:space="0" w:color="auto"/>
              </w:divBdr>
            </w:div>
            <w:div w:id="1725908445">
              <w:marLeft w:val="0"/>
              <w:marRight w:val="0"/>
              <w:marTop w:val="0"/>
              <w:marBottom w:val="0"/>
              <w:divBdr>
                <w:top w:val="none" w:sz="0" w:space="0" w:color="auto"/>
                <w:left w:val="none" w:sz="0" w:space="0" w:color="auto"/>
                <w:bottom w:val="none" w:sz="0" w:space="0" w:color="auto"/>
                <w:right w:val="none" w:sz="0" w:space="0" w:color="auto"/>
              </w:divBdr>
            </w:div>
            <w:div w:id="1436943175">
              <w:marLeft w:val="0"/>
              <w:marRight w:val="0"/>
              <w:marTop w:val="0"/>
              <w:marBottom w:val="0"/>
              <w:divBdr>
                <w:top w:val="none" w:sz="0" w:space="0" w:color="auto"/>
                <w:left w:val="none" w:sz="0" w:space="0" w:color="auto"/>
                <w:bottom w:val="none" w:sz="0" w:space="0" w:color="auto"/>
                <w:right w:val="none" w:sz="0" w:space="0" w:color="auto"/>
              </w:divBdr>
            </w:div>
            <w:div w:id="879898185">
              <w:marLeft w:val="0"/>
              <w:marRight w:val="0"/>
              <w:marTop w:val="0"/>
              <w:marBottom w:val="0"/>
              <w:divBdr>
                <w:top w:val="none" w:sz="0" w:space="0" w:color="auto"/>
                <w:left w:val="none" w:sz="0" w:space="0" w:color="auto"/>
                <w:bottom w:val="none" w:sz="0" w:space="0" w:color="auto"/>
                <w:right w:val="none" w:sz="0" w:space="0" w:color="auto"/>
              </w:divBdr>
            </w:div>
            <w:div w:id="1235966081">
              <w:marLeft w:val="0"/>
              <w:marRight w:val="0"/>
              <w:marTop w:val="0"/>
              <w:marBottom w:val="0"/>
              <w:divBdr>
                <w:top w:val="none" w:sz="0" w:space="0" w:color="auto"/>
                <w:left w:val="none" w:sz="0" w:space="0" w:color="auto"/>
                <w:bottom w:val="none" w:sz="0" w:space="0" w:color="auto"/>
                <w:right w:val="none" w:sz="0" w:space="0" w:color="auto"/>
              </w:divBdr>
            </w:div>
            <w:div w:id="2003853196">
              <w:marLeft w:val="0"/>
              <w:marRight w:val="0"/>
              <w:marTop w:val="0"/>
              <w:marBottom w:val="0"/>
              <w:divBdr>
                <w:top w:val="none" w:sz="0" w:space="0" w:color="auto"/>
                <w:left w:val="none" w:sz="0" w:space="0" w:color="auto"/>
                <w:bottom w:val="none" w:sz="0" w:space="0" w:color="auto"/>
                <w:right w:val="none" w:sz="0" w:space="0" w:color="auto"/>
              </w:divBdr>
            </w:div>
            <w:div w:id="557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77055284">
          <w:marLeft w:val="0"/>
          <w:marRight w:val="0"/>
          <w:marTop w:val="0"/>
          <w:marBottom w:val="0"/>
          <w:divBdr>
            <w:top w:val="none" w:sz="0" w:space="0" w:color="auto"/>
            <w:left w:val="none" w:sz="0" w:space="0" w:color="auto"/>
            <w:bottom w:val="none" w:sz="0" w:space="0" w:color="auto"/>
            <w:right w:val="none" w:sz="0" w:space="0" w:color="auto"/>
          </w:divBdr>
          <w:divsChild>
            <w:div w:id="719131318">
              <w:marLeft w:val="0"/>
              <w:marRight w:val="0"/>
              <w:marTop w:val="0"/>
              <w:marBottom w:val="0"/>
              <w:divBdr>
                <w:top w:val="none" w:sz="0" w:space="0" w:color="auto"/>
                <w:left w:val="none" w:sz="0" w:space="0" w:color="auto"/>
                <w:bottom w:val="none" w:sz="0" w:space="0" w:color="auto"/>
                <w:right w:val="none" w:sz="0" w:space="0" w:color="auto"/>
              </w:divBdr>
            </w:div>
            <w:div w:id="1494419970">
              <w:marLeft w:val="0"/>
              <w:marRight w:val="0"/>
              <w:marTop w:val="0"/>
              <w:marBottom w:val="0"/>
              <w:divBdr>
                <w:top w:val="none" w:sz="0" w:space="0" w:color="auto"/>
                <w:left w:val="none" w:sz="0" w:space="0" w:color="auto"/>
                <w:bottom w:val="none" w:sz="0" w:space="0" w:color="auto"/>
                <w:right w:val="none" w:sz="0" w:space="0" w:color="auto"/>
              </w:divBdr>
            </w:div>
            <w:div w:id="1826435399">
              <w:marLeft w:val="0"/>
              <w:marRight w:val="0"/>
              <w:marTop w:val="0"/>
              <w:marBottom w:val="0"/>
              <w:divBdr>
                <w:top w:val="none" w:sz="0" w:space="0" w:color="auto"/>
                <w:left w:val="none" w:sz="0" w:space="0" w:color="auto"/>
                <w:bottom w:val="none" w:sz="0" w:space="0" w:color="auto"/>
                <w:right w:val="none" w:sz="0" w:space="0" w:color="auto"/>
              </w:divBdr>
            </w:div>
            <w:div w:id="348876478">
              <w:marLeft w:val="0"/>
              <w:marRight w:val="0"/>
              <w:marTop w:val="0"/>
              <w:marBottom w:val="0"/>
              <w:divBdr>
                <w:top w:val="none" w:sz="0" w:space="0" w:color="auto"/>
                <w:left w:val="none" w:sz="0" w:space="0" w:color="auto"/>
                <w:bottom w:val="none" w:sz="0" w:space="0" w:color="auto"/>
                <w:right w:val="none" w:sz="0" w:space="0" w:color="auto"/>
              </w:divBdr>
            </w:div>
            <w:div w:id="162823116">
              <w:marLeft w:val="0"/>
              <w:marRight w:val="0"/>
              <w:marTop w:val="0"/>
              <w:marBottom w:val="0"/>
              <w:divBdr>
                <w:top w:val="none" w:sz="0" w:space="0" w:color="auto"/>
                <w:left w:val="none" w:sz="0" w:space="0" w:color="auto"/>
                <w:bottom w:val="none" w:sz="0" w:space="0" w:color="auto"/>
                <w:right w:val="none" w:sz="0" w:space="0" w:color="auto"/>
              </w:divBdr>
            </w:div>
            <w:div w:id="1569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5573">
      <w:bodyDiv w:val="1"/>
      <w:marLeft w:val="0"/>
      <w:marRight w:val="0"/>
      <w:marTop w:val="0"/>
      <w:marBottom w:val="0"/>
      <w:divBdr>
        <w:top w:val="none" w:sz="0" w:space="0" w:color="auto"/>
        <w:left w:val="none" w:sz="0" w:space="0" w:color="auto"/>
        <w:bottom w:val="none" w:sz="0" w:space="0" w:color="auto"/>
        <w:right w:val="none" w:sz="0" w:space="0" w:color="auto"/>
      </w:divBdr>
      <w:divsChild>
        <w:div w:id="2123302176">
          <w:marLeft w:val="0"/>
          <w:marRight w:val="0"/>
          <w:marTop w:val="100"/>
          <w:marBottom w:val="100"/>
          <w:divBdr>
            <w:top w:val="none" w:sz="0" w:space="0" w:color="auto"/>
            <w:left w:val="none" w:sz="0" w:space="0" w:color="auto"/>
            <w:bottom w:val="none" w:sz="0" w:space="0" w:color="auto"/>
            <w:right w:val="none" w:sz="0" w:space="0" w:color="auto"/>
          </w:divBdr>
          <w:divsChild>
            <w:div w:id="1557543700">
              <w:marLeft w:val="0"/>
              <w:marRight w:val="0"/>
              <w:marTop w:val="750"/>
              <w:marBottom w:val="750"/>
              <w:divBdr>
                <w:top w:val="none" w:sz="0" w:space="0" w:color="auto"/>
                <w:left w:val="none" w:sz="0" w:space="0" w:color="auto"/>
                <w:bottom w:val="none" w:sz="0" w:space="0" w:color="auto"/>
                <w:right w:val="none" w:sz="0" w:space="0" w:color="auto"/>
              </w:divBdr>
              <w:divsChild>
                <w:div w:id="388311375">
                  <w:marLeft w:val="0"/>
                  <w:marRight w:val="0"/>
                  <w:marTop w:val="0"/>
                  <w:marBottom w:val="0"/>
                  <w:divBdr>
                    <w:top w:val="none" w:sz="0" w:space="0" w:color="auto"/>
                    <w:left w:val="none" w:sz="0" w:space="0" w:color="auto"/>
                    <w:bottom w:val="none" w:sz="0" w:space="0" w:color="auto"/>
                    <w:right w:val="none" w:sz="0" w:space="0" w:color="auto"/>
                  </w:divBdr>
                  <w:divsChild>
                    <w:div w:id="1986349158">
                      <w:marLeft w:val="0"/>
                      <w:marRight w:val="0"/>
                      <w:marTop w:val="0"/>
                      <w:marBottom w:val="0"/>
                      <w:divBdr>
                        <w:top w:val="none" w:sz="0" w:space="0" w:color="auto"/>
                        <w:left w:val="none" w:sz="0" w:space="0" w:color="auto"/>
                        <w:bottom w:val="none" w:sz="0" w:space="0" w:color="auto"/>
                        <w:right w:val="none" w:sz="0" w:space="0" w:color="auto"/>
                      </w:divBdr>
                      <w:divsChild>
                        <w:div w:id="1542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7060">
          <w:marLeft w:val="0"/>
          <w:marRight w:val="0"/>
          <w:marTop w:val="100"/>
          <w:marBottom w:val="100"/>
          <w:divBdr>
            <w:top w:val="dashed" w:sz="6" w:space="0" w:color="A8A8A8"/>
            <w:left w:val="none" w:sz="0" w:space="0" w:color="auto"/>
            <w:bottom w:val="none" w:sz="0" w:space="0" w:color="auto"/>
            <w:right w:val="none" w:sz="0" w:space="0" w:color="auto"/>
          </w:divBdr>
          <w:divsChild>
            <w:div w:id="834809263">
              <w:marLeft w:val="0"/>
              <w:marRight w:val="0"/>
              <w:marTop w:val="750"/>
              <w:marBottom w:val="750"/>
              <w:divBdr>
                <w:top w:val="none" w:sz="0" w:space="0" w:color="auto"/>
                <w:left w:val="none" w:sz="0" w:space="0" w:color="auto"/>
                <w:bottom w:val="none" w:sz="0" w:space="0" w:color="auto"/>
                <w:right w:val="none" w:sz="0" w:space="0" w:color="auto"/>
              </w:divBdr>
              <w:divsChild>
                <w:div w:id="1458600713">
                  <w:marLeft w:val="0"/>
                  <w:marRight w:val="0"/>
                  <w:marTop w:val="0"/>
                  <w:marBottom w:val="0"/>
                  <w:divBdr>
                    <w:top w:val="none" w:sz="0" w:space="0" w:color="auto"/>
                    <w:left w:val="none" w:sz="0" w:space="0" w:color="auto"/>
                    <w:bottom w:val="none" w:sz="0" w:space="0" w:color="auto"/>
                    <w:right w:val="none" w:sz="0" w:space="0" w:color="auto"/>
                  </w:divBdr>
                  <w:divsChild>
                    <w:div w:id="1825508919">
                      <w:marLeft w:val="0"/>
                      <w:marRight w:val="0"/>
                      <w:marTop w:val="0"/>
                      <w:marBottom w:val="0"/>
                      <w:divBdr>
                        <w:top w:val="none" w:sz="0" w:space="0" w:color="auto"/>
                        <w:left w:val="none" w:sz="0" w:space="0" w:color="auto"/>
                        <w:bottom w:val="none" w:sz="0" w:space="0" w:color="auto"/>
                        <w:right w:val="none" w:sz="0" w:space="0" w:color="auto"/>
                      </w:divBdr>
                      <w:divsChild>
                        <w:div w:id="334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898662">
      <w:bodyDiv w:val="1"/>
      <w:marLeft w:val="0"/>
      <w:marRight w:val="0"/>
      <w:marTop w:val="0"/>
      <w:marBottom w:val="0"/>
      <w:divBdr>
        <w:top w:val="none" w:sz="0" w:space="0" w:color="auto"/>
        <w:left w:val="none" w:sz="0" w:space="0" w:color="auto"/>
        <w:bottom w:val="none" w:sz="0" w:space="0" w:color="auto"/>
        <w:right w:val="none" w:sz="0" w:space="0" w:color="auto"/>
      </w:divBdr>
      <w:divsChild>
        <w:div w:id="1371952824">
          <w:marLeft w:val="0"/>
          <w:marRight w:val="0"/>
          <w:marTop w:val="0"/>
          <w:marBottom w:val="0"/>
          <w:divBdr>
            <w:top w:val="none" w:sz="0" w:space="0" w:color="auto"/>
            <w:left w:val="none" w:sz="0" w:space="0" w:color="auto"/>
            <w:bottom w:val="none" w:sz="0" w:space="0" w:color="auto"/>
            <w:right w:val="none" w:sz="0" w:space="0" w:color="auto"/>
          </w:divBdr>
          <w:divsChild>
            <w:div w:id="1269193030">
              <w:marLeft w:val="0"/>
              <w:marRight w:val="0"/>
              <w:marTop w:val="0"/>
              <w:marBottom w:val="0"/>
              <w:divBdr>
                <w:top w:val="none" w:sz="0" w:space="0" w:color="auto"/>
                <w:left w:val="none" w:sz="0" w:space="0" w:color="auto"/>
                <w:bottom w:val="none" w:sz="0" w:space="0" w:color="auto"/>
                <w:right w:val="none" w:sz="0" w:space="0" w:color="auto"/>
              </w:divBdr>
            </w:div>
            <w:div w:id="1839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my2525</dc:creator>
  <cp:keywords/>
  <dc:description/>
  <cp:lastModifiedBy>my2525</cp:lastModifiedBy>
  <cp:revision>35</cp:revision>
  <dcterms:created xsi:type="dcterms:W3CDTF">2024-05-08T20:18:00Z</dcterms:created>
  <dcterms:modified xsi:type="dcterms:W3CDTF">2024-05-09T00:52:00Z</dcterms:modified>
</cp:coreProperties>
</file>