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95F42"/>
          <w:sz w:val="20"/>
        </w:rPr>
        <w:t>VIVIENDA NOVA</w:t>
      </w:r>
    </w:p>
    <w:p>
      <w:pPr>
        <w:pStyle w:val="Title"/>
        <w:jc w:val="center"/>
      </w:pPr>
      <w:r>
        <w:t>Guía unificada de fusión y publicación</w:t>
      </w:r>
    </w:p>
    <w:p>
      <w:pPr>
        <w:jc w:val="center"/>
      </w:pPr>
      <w:r>
        <w:rPr>
          <w:i/>
        </w:rPr>
        <w:t>Documento operativo para Manus AI de la cuenta que contiene el proyecto publicado</w:t>
      </w:r>
    </w:p>
    <w:p>
      <w:pPr>
        <w:pStyle w:val="IntenseQuote"/>
      </w:pPr>
      <w:r>
        <w:rPr>
          <w:b/>
        </w:rPr>
        <w:t xml:space="preserve">Regla principal. </w:t>
      </w:r>
      <w:r>
        <w:t>No sustituyas ni publiques el ZIP recibido de forma ciega. Primero crea un checkpoint y conserva una copia completa del proyecto publicado. La otra versión puede contener funciones posteriores que deben mantenerse.</w:t>
      </w:r>
    </w:p>
    <w:p>
      <w:pPr>
        <w:pStyle w:val="Heading1"/>
      </w:pPr>
      <w:r>
        <w:t>1. Qué resuelve esta actualización</w:t>
      </w:r>
    </w:p>
    <w:p>
      <w:r>
        <w:t>La actualización concentra el catálogo, el administrador y la experiencia pública en una base coherente. Cada vivienda conserva un precio real, referencia, descripción propia, características verificables, galería, localización y orden manual. El objetivo es eliminar los textos genéricos o menciones a agencias fuente y facilitar la gestión desde un único administrador.</w:t>
      </w:r>
    </w:p>
    <w:tbl>
      <w:tblPr>
        <w:tblStyle w:val="LightShading-Accent1"/>
        <w:tblW w:type="auto" w:w="0"/>
        <w:jc w:val="center"/>
        <w:tblLook w:firstColumn="1" w:firstRow="1" w:lastColumn="0" w:lastRow="0" w:noHBand="0" w:noVBand="1" w:val="04A0"/>
      </w:tblPr>
      <w:tblGrid>
        <w:gridCol w:w="5083"/>
        <w:gridCol w:w="5083"/>
      </w:tblGrid>
      <w:tr>
        <w:tc>
          <w:tcPr>
            <w:tcW w:type="dxa" w:w="5083"/>
            <w:shd w:fill="112F3F"/>
            <w:vAlign w:val="center"/>
          </w:tcPr>
          <w:p>
            <w:r>
              <w:rPr>
                <w:b/>
                <w:color w:val="FFFDF8"/>
              </w:rPr>
              <w:t>Área</w:t>
            </w:r>
          </w:p>
        </w:tc>
        <w:tc>
          <w:tcPr>
            <w:tcW w:type="dxa" w:w="5083"/>
            <w:shd w:fill="112F3F"/>
            <w:vAlign w:val="center"/>
          </w:tcPr>
          <w:p>
            <w:r>
              <w:rPr>
                <w:b/>
                <w:color w:val="FFFDF8"/>
              </w:rPr>
              <w:t>Resultado incluido</w:t>
            </w:r>
          </w:p>
        </w:tc>
      </w:tr>
      <w:tr>
        <w:tc>
          <w:tcPr>
            <w:tcW w:type="dxa" w:w="5083"/>
            <w:vAlign w:val="top"/>
          </w:tcPr>
          <w:p>
            <w:r>
              <w:t>Catálogo</w:t>
            </w:r>
          </w:p>
        </w:tc>
        <w:tc>
          <w:tcPr>
            <w:tcW w:type="dxa" w:w="5083"/>
            <w:vAlign w:val="top"/>
          </w:tcPr>
          <w:p>
            <w:r>
              <w:t>Actualiza 109 fichas por URL de origen sin duplicados.</w:t>
            </w:r>
          </w:p>
        </w:tc>
      </w:tr>
      <w:tr>
        <w:tc>
          <w:tcPr>
            <w:tcW w:type="dxa" w:w="5083"/>
            <w:vAlign w:val="top"/>
          </w:tcPr>
          <w:p>
            <w:r>
              <w:t>Ficha de vivienda</w:t>
            </w:r>
          </w:p>
        </w:tc>
        <w:tc>
          <w:tcPr>
            <w:tcW w:type="dxa" w:w="5083"/>
            <w:vAlign w:val="top"/>
          </w:tcPr>
          <w:p>
            <w:r>
              <w:t>Precio real editable, código, descripción única, galería, mapa y características reales.</w:t>
            </w:r>
          </w:p>
        </w:tc>
      </w:tr>
      <w:tr>
        <w:tc>
          <w:tcPr>
            <w:tcW w:type="dxa" w:w="5083"/>
            <w:vAlign w:val="top"/>
          </w:tcPr>
          <w:p>
            <w:r>
              <w:t>Idiomas</w:t>
            </w:r>
          </w:p>
        </w:tc>
        <w:tc>
          <w:tcPr>
            <w:tcW w:type="dxa" w:w="5083"/>
            <w:vAlign w:val="top"/>
          </w:tcPr>
          <w:p>
            <w:r>
              <w:t>Genera los 12 idiomas adicionales al crear, editar o actualizar una ficha.</w:t>
            </w:r>
          </w:p>
        </w:tc>
      </w:tr>
      <w:tr>
        <w:tc>
          <w:tcPr>
            <w:tcW w:type="dxa" w:w="5083"/>
            <w:vAlign w:val="top"/>
          </w:tcPr>
          <w:p>
            <w:r>
              <w:t>Fotos</w:t>
            </w:r>
          </w:p>
        </w:tc>
        <w:tc>
          <w:tcPr>
            <w:tcW w:type="dxa" w:w="5083"/>
            <w:vAlign w:val="top"/>
          </w:tcPr>
          <w:p>
            <w:r>
              <w:t>Acepta JPG, PNG, WebP y AVIF de hasta 20 MB; guarda WebP optimizado, orientado correctamente y limitado a 2048 px.</w:t>
            </w:r>
          </w:p>
        </w:tc>
      </w:tr>
      <w:tr>
        <w:tc>
          <w:tcPr>
            <w:tcW w:type="dxa" w:w="5083"/>
            <w:vAlign w:val="top"/>
          </w:tcPr>
          <w:p>
            <w:r>
              <w:t>Carga</w:t>
            </w:r>
          </w:p>
        </w:tc>
        <w:tc>
          <w:tcPr>
            <w:tcW w:type="dxa" w:w="5083"/>
            <w:vAlign w:val="top"/>
          </w:tcPr>
          <w:p>
            <w:r>
              <w:t>Carga diferida de imágenes fuera del primer bloque y foto de reserva estable si falla una URL externa.</w:t>
            </w:r>
          </w:p>
        </w:tc>
      </w:tr>
      <w:tr>
        <w:tc>
          <w:tcPr>
            <w:tcW w:type="dxa" w:w="5083"/>
            <w:vAlign w:val="top"/>
          </w:tcPr>
          <w:p>
            <w:r>
              <w:t>Búsqueda</w:t>
            </w:r>
          </w:p>
        </w:tc>
        <w:tc>
          <w:tcPr>
            <w:tcW w:type="dxa" w:w="5083"/>
            <w:vAlign w:val="top"/>
          </w:tcPr>
          <w:p>
            <w:r>
              <w:t>España aparece por defecto; filtros por país, provincia, municipio, barrio/zona, texto, referencia, dirección, tipo, precio y dormitorios.</w:t>
            </w:r>
          </w:p>
        </w:tc>
      </w:tr>
      <w:tr>
        <w:tc>
          <w:tcPr>
            <w:tcW w:type="dxa" w:w="5083"/>
            <w:vAlign w:val="top"/>
          </w:tcPr>
          <w:p>
            <w:r>
              <w:t>Mapa privado</w:t>
            </w:r>
          </w:p>
        </w:tc>
        <w:tc>
          <w:tcPr>
            <w:tcW w:type="dxa" w:w="5083"/>
            <w:vAlign w:val="top"/>
          </w:tcPr>
          <w:p>
            <w:r>
              <w:t>Agrupa puntos solapados y despliega tarjetas de clientes separadas con línea fina hasta la ubicación.</w:t>
            </w:r>
          </w:p>
        </w:tc>
      </w:tr>
      <w:tr>
        <w:tc>
          <w:tcPr>
            <w:tcW w:type="dxa" w:w="5083"/>
            <w:vAlign w:val="top"/>
          </w:tcPr>
          <w:p>
            <w:r>
              <w:t>Seguridad</w:t>
            </w:r>
          </w:p>
        </w:tc>
        <w:tc>
          <w:tcPr>
            <w:tcW w:type="dxa" w:w="5083"/>
            <w:vAlign w:val="top"/>
          </w:tcPr>
          <w:p>
            <w:r>
              <w:t>El área privada exige volver a iniciar sesión después de 30 minutos.</w:t>
            </w:r>
          </w:p>
        </w:tc>
      </w:tr>
      <w:tr>
        <w:tc>
          <w:tcPr>
            <w:tcW w:type="dxa" w:w="5083"/>
            <w:vAlign w:val="top"/>
          </w:tcPr>
          <w:p>
            <w:r>
              <w:t>Administrador</w:t>
            </w:r>
          </w:p>
        </w:tc>
        <w:tc>
          <w:tcPr>
            <w:tcW w:type="dxa" w:w="5083"/>
            <w:vAlign w:val="top"/>
          </w:tcPr>
          <w:p>
            <w:r>
              <w:t>Cada botón principal abre explícitamente su herramienta, sin gestores ocultos bajo el panel.</w:t>
            </w:r>
          </w:p>
        </w:tc>
      </w:tr>
    </w:tbl>
    <w:p/>
    <w:p>
      <w:pPr>
        <w:pStyle w:val="Heading1"/>
      </w:pPr>
      <w:r>
        <w:t>2. Material disponible en la carpeta de Google Drive</w:t>
      </w:r>
    </w:p>
    <w:tbl>
      <w:tblPr>
        <w:tblStyle w:val="LightShading-Accent1"/>
        <w:tblW w:type="auto" w:w="0"/>
        <w:jc w:val="center"/>
        <w:tblLook w:firstColumn="1" w:firstRow="1" w:lastColumn="0" w:lastRow="0" w:noHBand="0" w:noVBand="1" w:val="04A0"/>
      </w:tblPr>
      <w:tblGrid>
        <w:gridCol w:w="5083"/>
        <w:gridCol w:w="5083"/>
      </w:tblGrid>
      <w:tr>
        <w:tc>
          <w:tcPr>
            <w:tcW w:type="dxa" w:w="5083"/>
            <w:shd w:fill="112F3F"/>
            <w:vAlign w:val="center"/>
          </w:tcPr>
          <w:p>
            <w:r>
              <w:rPr>
                <w:b/>
                <w:color w:val="FFFDF8"/>
              </w:rPr>
              <w:t>Elemento</w:t>
            </w:r>
          </w:p>
        </w:tc>
        <w:tc>
          <w:tcPr>
            <w:tcW w:type="dxa" w:w="5083"/>
            <w:shd w:fill="112F3F"/>
            <w:vAlign w:val="center"/>
          </w:tcPr>
          <w:p>
            <w:r>
              <w:rPr>
                <w:b/>
                <w:color w:val="FFFDF8"/>
              </w:rPr>
              <w:t>Uso</w:t>
            </w:r>
          </w:p>
        </w:tc>
      </w:tr>
      <w:tr>
        <w:tc>
          <w:tcPr>
            <w:tcW w:type="dxa" w:w="5083"/>
            <w:vAlign w:val="top"/>
          </w:tcPr>
          <w:p>
            <w:r>
              <w:t>01_PAQUETE_TECNICO / ZIP integral</w:t>
            </w:r>
          </w:p>
        </w:tc>
        <w:tc>
          <w:tcPr>
            <w:tcW w:type="dxa" w:w="5083"/>
            <w:vAlign w:val="top"/>
          </w:tcPr>
          <w:p>
            <w:r>
              <w:t>Código completo de referencia, sin node_modules.</w:t>
            </w:r>
          </w:p>
        </w:tc>
      </w:tr>
      <w:tr>
        <w:tc>
          <w:tcPr>
            <w:tcW w:type="dxa" w:w="5083"/>
            <w:vAlign w:val="top"/>
          </w:tcPr>
          <w:p>
            <w:r>
              <w:t>02_CATALOGO / CSV 109</w:t>
            </w:r>
          </w:p>
        </w:tc>
        <w:tc>
          <w:tcPr>
            <w:tcW w:type="dxa" w:w="5083"/>
            <w:vAlign w:val="top"/>
          </w:tcPr>
          <w:p>
            <w:r>
              <w:t>Detalles, características, galerías, referencias, coordenadas y precios de las 109 fichas.</w:t>
            </w:r>
          </w:p>
        </w:tc>
      </w:tr>
      <w:tr>
        <w:tc>
          <w:tcPr>
            <w:tcW w:type="dxa" w:w="5083"/>
            <w:vAlign w:val="top"/>
          </w:tcPr>
          <w:p>
            <w:r>
              <w:t>00_LEER_PRIMERO / esta guía</w:t>
            </w:r>
          </w:p>
        </w:tc>
        <w:tc>
          <w:tcPr>
            <w:tcW w:type="dxa" w:w="5083"/>
            <w:vAlign w:val="top"/>
          </w:tcPr>
          <w:p>
            <w:r>
              <w:t>Procedimiento completo y mensaje listo para Manus AI.</w:t>
            </w:r>
          </w:p>
        </w:tc>
      </w:tr>
      <w:tr>
        <w:tc>
          <w:tcPr>
            <w:tcW w:type="dxa" w:w="5083"/>
            <w:vAlign w:val="top"/>
          </w:tcPr>
          <w:p>
            <w:r>
              <w:t>04_RECOMENDACIONES</w:t>
            </w:r>
          </w:p>
        </w:tc>
        <w:tc>
          <w:tcPr>
            <w:tcW w:type="dxa" w:w="5083"/>
            <w:vAlign w:val="top"/>
          </w:tcPr>
          <w:p>
            <w:r>
              <w:t>Hoja de ruta de producto, SEO, rendimiento, accesibilidad, CRM y seguridad.</w:t>
            </w:r>
          </w:p>
        </w:tc>
      </w:tr>
      <w:tr>
        <w:tc>
          <w:tcPr>
            <w:tcW w:type="dxa" w:w="5083"/>
            <w:vAlign w:val="top"/>
          </w:tcPr>
          <w:p>
            <w:r>
              <w:t>03_PROYECTO_ORIGINAL_PARA_FUSIONAR</w:t>
            </w:r>
          </w:p>
        </w:tc>
        <w:tc>
          <w:tcPr>
            <w:tcW w:type="dxa" w:w="5083"/>
            <w:vAlign w:val="top"/>
          </w:tcPr>
          <w:p>
            <w:r>
              <w:t>Carpeta donde se debe subir el ZIP completo de la versión publicada original.</w:t>
            </w:r>
          </w:p>
        </w:tc>
      </w:tr>
    </w:tbl>
    <w:p/>
    <w:p>
      <w:pPr>
        <w:pStyle w:val="Heading1"/>
      </w:pPr>
      <w:r>
        <w:t>3. Procedimiento paso por paso</w:t>
      </w:r>
    </w:p>
    <w:p>
      <w:pPr>
        <w:pStyle w:val="ListNumber"/>
      </w:pPr>
      <w:r>
        <w:rPr>
          <w:b/>
        </w:rPr>
        <w:t xml:space="preserve">Preservar la publicación actual. </w:t>
      </w:r>
      <w:r>
        <w:t>Crear un checkpoint y descargar un ZIP completo del proyecto publicado original. Confirmar el dominio y la versión actual. No borrar datos ni ejecutar migraciones todavía.</w:t>
      </w:r>
    </w:p>
    <w:p>
      <w:pPr>
        <w:pStyle w:val="ListNumber"/>
      </w:pPr>
      <w:r>
        <w:rPr>
          <w:b/>
        </w:rPr>
        <w:t xml:space="preserve">Subir el original a Drive. </w:t>
      </w:r>
      <w:r>
        <w:t>Subir el ZIP original a 03_PROYECTO_ORIGINAL_PARA_FUSIONAR con fecha en el nombre. Después escribir: “El original ya está en Drive para fusionar”.</w:t>
      </w:r>
    </w:p>
    <w:p>
      <w:pPr>
        <w:pStyle w:val="ListNumber"/>
      </w:pPr>
      <w:r>
        <w:rPr>
          <w:b/>
        </w:rPr>
        <w:t xml:space="preserve">Comparar antes de fusionar. </w:t>
      </w:r>
      <w:r>
        <w:t>Descomprimir el original y el ZIP integral en carpetas distintas. Comparar package.json, pnpm-lock.yaml, drizzle, server y client/src. Conservar toda función que exista solo en la versión publicada.</w:t>
      </w:r>
    </w:p>
    <w:p>
      <w:pPr>
        <w:pStyle w:val="ListNumber"/>
      </w:pPr>
      <w:r>
        <w:rPr>
          <w:b/>
        </w:rPr>
        <w:t xml:space="preserve">Fusionar los cambios técnicos. </w:t>
      </w:r>
      <w:r>
        <w:t>Integrar schema.ts, db.ts, routers.ts, traducciones, Storage, Home.tsx, Admin.tsx, i18n.ts, estilos, componentes de gestión multimedia, importador y ClientLeadsMap. Mantener las configuraciones que sean más recientes en la versión publicada.</w:t>
      </w:r>
    </w:p>
    <w:p>
      <w:pPr>
        <w:pStyle w:val="ListNumber"/>
      </w:pPr>
      <w:r>
        <w:rPr>
          <w:b/>
        </w:rPr>
        <w:t xml:space="preserve">Conservar sesión de 30 minutos. </w:t>
      </w:r>
      <w:r>
        <w:t>Mantener ADMIN_SESSION_TTL_MS = 1000 × 60 × 30 en shared/const.ts y usarlo tanto para el token como para maxAge de la cookie. La consulta de sesión debe revisarse cada minuto y al recuperar foco.</w:t>
      </w:r>
    </w:p>
    <w:p>
      <w:pPr>
        <w:pStyle w:val="ListNumber"/>
      </w:pPr>
      <w:r>
        <w:rPr>
          <w:b/>
        </w:rPr>
        <w:t xml:space="preserve">Instalar y migrar con cuidado. </w:t>
      </w:r>
      <w:r>
        <w:t>Ejecutar pnpm install. Aplicar solamente las migraciones ausentes tras revisar el historial real de la base de datos. No volver a ejecutar migraciones ya registradas.</w:t>
      </w:r>
    </w:p>
    <w:p>
      <w:pPr>
        <w:pStyle w:val="ListNumber"/>
      </w:pPr>
      <w:r>
        <w:rPr>
          <w:b/>
        </w:rPr>
        <w:t xml:space="preserve">Validar el administrador. </w:t>
      </w:r>
      <w:r>
        <w:t>Probar: Añadir vivienda, Importar/actualizar CSV, Multimedia de portada, Tarjetas, Mapa de clientes, Vendedores, Añadir operación e Idiomas y diseño. Cada botón debe abrir y cerrar su tarea correctamente.</w:t>
      </w:r>
    </w:p>
    <w:p>
      <w:pPr>
        <w:pStyle w:val="ListNumber"/>
      </w:pPr>
      <w:r>
        <w:rPr>
          <w:b/>
        </w:rPr>
        <w:t xml:space="preserve">Actualizar fichas. </w:t>
      </w:r>
      <w:r>
        <w:t>Abrir Importar/actualizar CSV, elegir el CSV 109, probar primero una ficha concreta y, si el resultado es correcto, actualizar las 109. El identificador es sourceUrl, por lo que no se crean duplicados.</w:t>
      </w:r>
    </w:p>
    <w:p>
      <w:pPr>
        <w:pStyle w:val="ListNumber"/>
      </w:pPr>
      <w:r>
        <w:rPr>
          <w:b/>
        </w:rPr>
        <w:t xml:space="preserve">Comprobar la web pública. </w:t>
      </w:r>
      <w:r>
        <w:t>Validar cinco viviendas de precios distintos: texto propio sin agencias fuente, precio, referencia, fotos, características reales, galería y mapa. Probar filtros por provincia, municipio, zona y referencia.</w:t>
      </w:r>
    </w:p>
    <w:p>
      <w:pPr>
        <w:pStyle w:val="ListNumber"/>
      </w:pPr>
      <w:r>
        <w:rPr>
          <w:b/>
        </w:rPr>
        <w:t xml:space="preserve">Publicar con retorno. </w:t>
      </w:r>
      <w:r>
        <w:t>Solo publicar tras pasar pnpm check, pnpm test -- --run y pnpm build. Mantener el checkpoint inicial para revertir cualquier regresión.</w:t>
      </w:r>
    </w:p>
    <w:p>
      <w:pPr>
        <w:pStyle w:val="Heading1"/>
      </w:pPr>
      <w:r>
        <w:t>4. Reglas de datos del catálogo</w:t>
      </w:r>
    </w:p>
    <w:p>
      <w:r>
        <w:t>Las características se deben basar exclusivamente en la información disponible para cada vivienda. Piscina, garaje, jardín, ascensor u otros elementos solo se muestran cuando están verificadas. Si no aparece una característica en la fuente o no está confirmada, se deja vacía. Las traducciones deben conservar cifras, nombres de lugares, medidas y referencias, sin mencionar inmobiliarias de origen.</w:t>
      </w:r>
    </w:p>
    <w:p>
      <w:r>
        <w:t>El orden predeterminado es: primero el valor de orden manual y, cuando coinciden, el precio más alto. El administrador puede cambiar la posición con las flechas de subir y bajar. El precio numérico editable actualiza el precio visible de la ficha.</w:t>
      </w:r>
    </w:p>
    <w:p>
      <w:pPr>
        <w:pStyle w:val="Heading1"/>
      </w:pPr>
      <w:r>
        <w:t>5. Privacidad del mapa de clientes</w:t>
      </w:r>
    </w:p>
    <w:p>
      <w:r>
        <w:t>El mapa es exclusivo del administrador. Muestra únicamente solicitudes de construcción que contienen coordenadas aportadas voluntariamente y aceptación de privacidad. Si varios contactos tienen el mismo punto, se usa un marcador agrupado. Al pulsarlo aparecen tarjetas separadas; cada una se desplaza ligeramente para no solaparse y una línea fina la conecta con la ubicación exacta.</w:t>
      </w:r>
    </w:p>
    <w:p>
      <w:pPr>
        <w:pStyle w:val="Heading1"/>
      </w:pPr>
      <w:r>
        <w:t>6. Exclusiones explícitas</w:t>
      </w:r>
    </w:p>
    <w:p>
      <w:r>
        <w:t>No implementar Colombia, caja registradora, enlaces de pago, chatbot de reservas ni mapa público de clientes. Esos conceptos procedían de errores de reconocimiento por voz y no forman parte del alcance de esta actualización. Tampoco mostrar el nombre de las inmobiliarias de las que provienen las fichas.</w:t>
      </w:r>
    </w:p>
    <w:p>
      <w:pPr>
        <w:pStyle w:val="Heading1"/>
      </w:pPr>
      <w:r>
        <w:t>7. Mensaje listo para copiar en Manus AI (English)</w:t>
      </w:r>
    </w:p>
    <w:p>
      <w:pPr>
        <w:pStyle w:val="IntenseQuote"/>
      </w:pPr>
      <w:r>
        <w:t>You are updating the published original Vivienda Nova WebDev project. Do not overwrite it with another ZIP. First create a checkpoint and download a full backup. Compare it against the integral update ZIP in the shared Drive folder, merge changes, and preserve every original-only feature. Apply only missing database migrations. Keep the admin session expiry at exactly 30 minutes using ADMIN_SESSION_TTL_MS for both token and secure HttpOnly cookie. Verify every admin action opens its correct tool. Only deploy after pnpm check, pnpm test -- --run, and pnpm build pass. Use the 109-listing CSV in Update mode; test one row first and then update the remaining listings by sourceUrl, never creating duplicates. Verify no source agency name appears in descriptions; preserve only verified features and correct prices/references; store new admin image uploads as optimized WebP; default geographic search to Spain; and ensure the private lead map groups overlapping points into offset cards with callout lines. Do not add Colombia, payment links, cash-register logic, reservation bots, or public client maps.</w:t>
      </w:r>
    </w:p>
    <w:p>
      <w:pPr>
        <w:pStyle w:val="Heading1"/>
      </w:pPr>
      <w:r>
        <w:t>8. Próximas mejoras recomendadas</w:t>
      </w:r>
    </w:p>
    <w:p>
      <w:pPr>
        <w:pStyle w:val="ListBullet"/>
      </w:pPr>
      <w:r>
        <w:t>Añadir datos estructurados JSON-LD coherentes con el contenido visible de cada ficha y validarlos con Rich Results Test.</w:t>
      </w:r>
    </w:p>
    <w:p>
      <w:pPr>
        <w:pStyle w:val="ListBullet"/>
      </w:pPr>
      <w:r>
        <w:t>Añadir CTA de “Solicitar visita” visible en móvil, con formulario breve y mensajes de error accesibles.</w:t>
      </w:r>
    </w:p>
    <w:p>
      <w:pPr>
        <w:pStyle w:val="ListBullet"/>
      </w:pPr>
      <w:r>
        <w:t>Implementar favoritos persistentes, comparación de dos o tres viviendas y búsquedas guardadas.</w:t>
      </w:r>
    </w:p>
    <w:p>
      <w:pPr>
        <w:pStyle w:val="ListBullet"/>
      </w:pPr>
      <w:r>
        <w:t>Crear páginas de zona con contenido propio, una política SEO para filtros y medición búsqueda → ficha → contacto.</w:t>
      </w:r>
    </w:p>
    <w:p>
      <w:pPr>
        <w:pStyle w:val="ListBullet"/>
      </w:pPr>
      <w:r>
        <w:t>Ampliar el CRM con historial de cambios, responsables, deduplicación y revisiones de permisos.</w:t>
      </w:r>
    </w:p>
    <w:p>
      <w:pPr>
        <w:pStyle w:val="Heading1"/>
      </w:pPr>
      <w:r>
        <w:t>Fuentes de las recomendaciones</w:t>
      </w:r>
    </w:p>
    <w:p>
      <w:r>
        <w:t>Google Search Central — Managing crawling of faceted navigation URLs: https://developers.google.com/crawling/docs/faceted-navigation</w:t>
      </w:r>
    </w:p>
    <w:p>
      <w:r>
        <w:t>Google Search Central — Introduction to structured data markup: https://developers.google.com/search/docs/appearance/structured-data/intro-structured-data</w:t>
      </w:r>
    </w:p>
    <w:p>
      <w:r>
        <w:t>web.dev — The most effective ways to improve Core Web Vitals: https://web.dev/articles/top-cwv</w:t>
      </w:r>
    </w:p>
    <w:p>
      <w:r>
        <w:t>Google Search Central — Google image SEO best practices: https://developers.google.com/search/docs/appearance/google-images</w:t>
      </w:r>
    </w:p>
    <w:p>
      <w:r>
        <w:t>W3C — Web Content Accessibility Guidelines 2.2: https://www.w3.org/TR/WCAG22/</w:t>
      </w:r>
    </w:p>
    <w:p>
      <w:r>
        <w:t>OWASP — Authentication and Authorization Cheat Sheets: https://cheatsheetseries.owasp.org/</w:t>
      </w:r>
    </w:p>
    <w:p>
      <w:r>
        <w:t>EUR-Lex — Regulation (EU) 2016/679, Articles 5 and 25: https://eur-lex.europa.eu/eli/reg/2016/679/oj/eng</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unificada de fusión y publicación — Vivienda Nova</dc:title>
  <dc:subject/>
  <dc:creator>Manus AI</dc:creator>
  <cp:keywords/>
  <dc:description>generated by python-docx</dc:description>
  <cp:lastModifiedBy/>
  <cp:revision>1</cp:revision>
  <dcterms:created xsi:type="dcterms:W3CDTF">2013-12-23T23:15:00Z</dcterms:created>
  <dcterms:modified xsi:type="dcterms:W3CDTF">2013-12-23T23:15:00Z</dcterms:modified>
  <cp:category/>
</cp:coreProperties>
</file>