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C3E50"/>
          <w:sz w:val="56"/>
          <w:szCs w:val="56"/>
        </w:rPr>
        <w:t xml:space="preserve">TRIBE v3</w:t>
      </w:r>
    </w:p>
    <w:p>
      <w:pPr>
        <w:spacing w:after="100"/>
        <w:jc w:val="center"/>
      </w:pPr>
      <w:r>
        <w:rPr>
          <w:rFonts w:ascii="Arial" w:cs="Arial" w:eastAsia="Arial" w:hAnsi="Arial"/>
          <w:color w:val="7F8C8D"/>
          <w:sz w:val="36"/>
          <w:szCs w:val="36"/>
        </w:rPr>
        <w:t xml:space="preserve">Comprehensive Codebase Audit Report</w:t>
      </w:r>
    </w:p>
    <w:p>
      <w:pPr>
        <w:pBdr>
          <w:bottom w:val="single" w:color="3498DB" w:sz="6" w:space="1"/>
        </w:pBdr>
        <w:spacing w:after="600"/>
        <w:jc w:val="center"/>
      </w:pPr>
      <w:r>
        <w:rPr>
          <w:rFonts w:ascii="Arial" w:cs="Arial" w:eastAsia="Arial" w:hAnsi="Arial"/>
          <w:color w:val="3498DB"/>
          <w:sz w:val="24"/>
          <w:szCs w:val="24"/>
        </w:rPr>
        <w:t xml:space="preserve">Security • Performance • UI/UX • Code Quality</w:t>
      </w:r>
    </w:p>
    <w:p>
      <w:pPr>
        <w:spacing w:after="200" w:before="400"/>
      </w:pPr>
      <w:r>
        <w:rPr>
          <w:rFonts w:ascii="Arial" w:cs="Arial" w:eastAsia="Arial" w:hAnsi="Arial"/>
          <w:b/>
          <w:bCs/>
          <w:color w:val="2C3E50"/>
          <w:sz w:val="28"/>
          <w:szCs w:val="28"/>
        </w:rPr>
        <w:t xml:space="preserve">Executive Summary</w:t>
      </w:r>
    </w:p>
    <w:p>
      <w:pPr>
        <w:spacing w:after="120"/>
      </w:pPr>
      <w:r>
        <w:rPr>
          <w:rFonts w:ascii="Arial" w:cs="Arial" w:eastAsia="Arial" w:hAnsi="Arial"/>
          <w:color w:val="2C3E50"/>
          <w:sz w:val="22"/>
          <w:szCs w:val="22"/>
        </w:rPr>
        <w:t xml:space="preserve">This report presents a comprehensive audit of the Tribe v3 codebase, a mobile-first Progressive Web App (PWA) built with Next.js 16, Supabase, and Tailwind CSS, targeting the Colombia/Medellin athletic community. The audit evaluated four key areas: security posture, runtime performance, UI/UX quality, and code maintainability.</w:t>
      </w:r>
    </w:p>
    <w:p>
      <w:pPr>
        <w:spacing w:after="120"/>
      </w:pPr>
      <w:r>
        <w:rPr>
          <w:rFonts w:ascii="Arial" w:cs="Arial" w:eastAsia="Arial" w:hAnsi="Arial"/>
          <w:color w:val="2C3E50"/>
          <w:sz w:val="22"/>
          <w:szCs w:val="22"/>
        </w:rPr>
        <w:t xml:space="preserve">The audit identified 36 findings across all categories: 3 Critical, 10 High, 15 Medium, and 8 Low severity items. The most urgent issues involve API route security and client-side API key exposure, followed by significant performance concerns from unoptimized bundle sizes.</w:t>
      </w:r>
    </w:p>
    <w:p>
      <w:pPr>
        <w:spacing w:after="120"/>
      </w:pPr>
      <w:r>
        <w:rPr>
          <w:rFonts w:ascii="Arial" w:cs="Arial" w:eastAsia="Arial" w:hAnsi="Arial"/>
          <w:color w:val="2C3E50"/>
          <w:sz w:val="22"/>
          <w:szCs w:val="22"/>
        </w:rPr>
        <w:t xml:space="preserve">Overall code quality scored 82/100, reflecting strong architectural patterns (DAL layer, TypeScript usage) balanced against gaps in testing, internationalization completeness, and component size discipline. The app has a solid foundation but requires targeted improvements before scaling to production traffic.</w:t>
      </w:r>
    </w:p>
    <w:p>
      <w:pPr>
        <w:spacing w:after="200" w:before="300"/>
      </w:pPr>
      <w:r>
        <w:rPr>
          <w:rFonts w:ascii="Arial" w:cs="Arial" w:eastAsia="Arial" w:hAnsi="Arial"/>
          <w:b/>
          <w:bCs/>
          <w:color w:val="2C3E50"/>
          <w:sz w:val="24"/>
          <w:szCs w:val="24"/>
        </w:rPr>
        <w:t xml:space="preserve">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2E6" w:sz="1"/>
              <w:left w:val="single" w:color="DEE2E6" w:sz="1"/>
              <w:bottom w:val="single" w:color="DEE2E6" w:sz="1"/>
              <w:right w:val="single" w:color="DEE2E6" w:sz="1"/>
            </w:tcBorders>
            <w:shd w:fill="C0392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CRITICAL: 3</w:t>
            </w:r>
          </w:p>
        </w:tc>
        <w:tc>
          <w:tcPr>
            <w:tcW w:type="dxa" w:w="2340"/>
            <w:tcBorders>
              <w:top w:val="single" w:color="DEE2E6" w:sz="1"/>
              <w:left w:val="single" w:color="DEE2E6" w:sz="1"/>
              <w:bottom w:val="single" w:color="DEE2E6" w:sz="1"/>
              <w:right w:val="single" w:color="DEE2E6" w:sz="1"/>
            </w:tcBorders>
            <w:shd w:fill="E67E22"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HIGH: 10</w:t>
            </w:r>
          </w:p>
        </w:tc>
        <w:tc>
          <w:tcPr>
            <w:tcW w:type="dxa" w:w="2340"/>
            <w:tcBorders>
              <w:top w:val="single" w:color="DEE2E6" w:sz="1"/>
              <w:left w:val="single" w:color="DEE2E6" w:sz="1"/>
              <w:bottom w:val="single" w:color="DEE2E6" w:sz="1"/>
              <w:right w:val="single" w:color="DEE2E6" w:sz="1"/>
            </w:tcBorders>
            <w:shd w:fill="F39C12"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MEDIUM: 15</w:t>
            </w:r>
          </w:p>
        </w:tc>
        <w:tc>
          <w:tcPr>
            <w:tcW w:type="dxa" w:w="2340"/>
            <w:tcBorders>
              <w:top w:val="single" w:color="DEE2E6" w:sz="1"/>
              <w:left w:val="single" w:color="DEE2E6" w:sz="1"/>
              <w:bottom w:val="single" w:color="DEE2E6" w:sz="1"/>
              <w:right w:val="single" w:color="DEE2E6" w:sz="1"/>
            </w:tcBorders>
            <w:shd w:fill="27AE6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LOW: 8</w:t>
            </w:r>
          </w:p>
        </w:tc>
      </w:tr>
    </w:tbl>
    <w:p>
      <w:r>
        <w:br w:type="page"/>
      </w:r>
    </w:p>
    <w:p>
      <w:pPr>
        <w:pStyle w:val="Heading1"/>
      </w:pPr>
      <w:r>
        <w:rPr>
          <w:rFonts w:ascii="Arial" w:cs="Arial" w:eastAsia="Arial" w:hAnsi="Arial"/>
          <w:b/>
          <w:bCs/>
          <w:color w:val="2C3E50"/>
          <w:sz w:val="32"/>
          <w:szCs w:val="32"/>
        </w:rPr>
        <w:t xml:space="preserve">1. Security Audit</w:t>
      </w:r>
    </w:p>
    <w:p>
      <w:pPr>
        <w:spacing w:after="120"/>
      </w:pPr>
      <w:r>
        <w:rPr>
          <w:rFonts w:ascii="Arial" w:cs="Arial" w:eastAsia="Arial" w:hAnsi="Arial"/>
          <w:color w:val="2C3E50"/>
          <w:sz w:val="22"/>
          <w:szCs w:val="22"/>
        </w:rPr>
        <w:t xml:space="preserve">The security audit evaluated authentication flows, authorization policies (RLS), API route protection, Content Security Policy configuration, data exposure risks, and common web vulnerabilities (XSS, CSRF). The Tribe app handles user location data, personal profiles, and messaging, making security paramount for user trust.</w:t>
      </w:r>
    </w:p>
    <w:p>
      <w:pPr>
        <w:spacing w:after="120"/>
      </w:pPr>
      <w:r>
        <w:rPr>
          <w:rFonts w:ascii="Arial" w:cs="Arial" w:eastAsia="Arial" w:hAnsi="Arial"/>
          <w:color w:val="2C3E50"/>
          <w:sz w:val="22"/>
          <w:szCs w:val="22"/>
        </w:rPr>
        <w:t xml:space="preserve">Key concern areas: API routes are publicly accessible without authentication middleware, a Google API key is exposed in client bundles without restrictions, and Row Level Security policies on the users table are overly permissive. These issues should be addressed before any marketing launch.</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336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3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API routes blanket-public in middleware</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middleware.ts only protects /sessions and /profile routes. All /api/* routes are publicly accessible without authentication, including /api/cron/*, /api/notifications/*, and /api/auth/signup. Attackers can trigger cron jobs or send push notifications directly.</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Add authentication checks to all API routes. Use Supabase auth verification in each route handler or expand middleware to cover /api/* paths.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Google Places API key exposed client-side</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NEXT_PUBLIC_GOOGLE_PLACES_API_KEY is embedded in client bundles and visible in browser DevTools. The key has no HTTP referrer restrictions or API scope limitations configured.</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Apply HTTP referrer restrictions in Google Cloud Console. Limit the key to only the Places API. Consider proxying requests through a backend to keep the key server-side.</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Overly permissive RLS SELECT policies on users table</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The users table allows public SELECT on all columns, which exposes personal data like email addresses, phone numbers, and location data to any authenticated user.</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Restrict SELECT policies to only expose public profile fields (name, avatar, sport preferences). Create a separate policy for self-access to private fields.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Missing RLS policies on chat_messages table</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The chat_messages table referenced in the schema may lack proper RLS policies, potentially allowing users to read messages from sessions they haven't joined.</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Add RLS policies that restrict chat_messages access to session participants only. Verify all message-related queries go through the DAL layer.</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In-memory rate limiting ineffective on serverless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lib/rate-limit.ts uses a JavaScript Map for rate limiting, which resets on every serverless function cold start. This provides zero protection in production.</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Replace with Supabase-backed rate limiting (Redis alternative) or use Vercel's built-in rate limiting. Upstash Redis is a lightweight serverless-compatible option.</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CSRF protection on API routes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 routes don't validate request origin or use CSRF tokens. Combined with blanket-public access, this enables cross-site request forgery attacks.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Add origin header validation to API routes. Verify the Supabase auth token is present and valid before processing requests.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Signup endpoint lacks email validation</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app/api/auth/signup/route.ts accepts email addresses without verifying format or checking for disposable email domains. No rate limiting on signup attempts.</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Add email format validation, check against disposable email lists, and implement rate limiting on the signup endpoint.</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CSP uses unsafe-inline and unsafe-eval</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Content Security Policy includes 'unsafe-inline' and 'unsafe-eval' in script-src, which weakens XSS protection significantly.</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Migrate to nonce-based CSP for inline scripts. Remove 'unsafe-eval' by auditing which dependencies require it and finding alternatives.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input sanitization on user-generated content</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Session descriptions, chat messages, and profile bios don't appear to have server-side sanitization for XSS payloads.</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Implement server-side HTML sanitization using DOMPurify or similar library in Supabase Edge Functions. Add client-side sanitization as defense-in-depth.</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Service worker cache never invalidated</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CACHE_NAME is hardcoded to 'tribe-v1' and old caches are never deleted during activation. Users may receive stale content indefinitely.</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Implement cache versioning (increment CACHE_NAME on deployments). Add cleanup logic in the activate event to delete outdated caches.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Subresource Integrity (SRI) on external scripts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External scripts from unpkg.com (Leaflet) load without integrity hashes, making them vulnerable to supply-chain attacks.</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Add integrity and crossorigin attributes to external script tags. Pin specific versions of CDN resources.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Missing security.txt and well-known paths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/.well-known/security.txt file for responsible disclosure. No robots.txt to guide crawlers.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Add security.txt with contact information for vulnerability reports. Add robots.txt to control search engine indexing.</w:t>
            </w:r>
          </w:p>
        </w:tc>
      </w:tr>
    </w:tbl>
    <w:p>
      <w:r>
        <w:br w:type="page"/>
      </w:r>
    </w:p>
    <w:p>
      <w:pPr>
        <w:pStyle w:val="Heading1"/>
      </w:pPr>
      <w:r>
        <w:rPr>
          <w:rFonts w:ascii="Arial" w:cs="Arial" w:eastAsia="Arial" w:hAnsi="Arial"/>
          <w:b/>
          <w:bCs/>
          <w:color w:val="2C3E50"/>
          <w:sz w:val="32"/>
          <w:szCs w:val="32"/>
        </w:rPr>
        <w:t xml:space="preserve">2. Performance Audit</w:t>
      </w:r>
    </w:p>
    <w:p>
      <w:pPr>
        <w:spacing w:after="120"/>
      </w:pPr>
      <w:r>
        <w:rPr>
          <w:rFonts w:ascii="Arial" w:cs="Arial" w:eastAsia="Arial" w:hAnsi="Arial"/>
          <w:color w:val="2C3E50"/>
          <w:sz w:val="22"/>
          <w:szCs w:val="22"/>
        </w:rPr>
        <w:t xml:space="preserve">The performance audit analyzed JavaScript bundle size, rendering efficiency, asset optimization, caching strategies, and mobile network performance. As a mobile-first PWA targeting users in Colombia, performance on mid-range Android devices over 4G connections is critical for user retention.</w:t>
      </w:r>
    </w:p>
    <w:p>
      <w:pPr>
        <w:spacing w:after="120"/>
      </w:pPr>
      <w:r>
        <w:rPr>
          <w:rFonts w:ascii="Arial" w:cs="Arial" w:eastAsia="Arial" w:hAnsi="Arial"/>
          <w:color w:val="2C3E50"/>
          <w:sz w:val="22"/>
          <w:szCs w:val="22"/>
        </w:rPr>
        <w:t xml:space="preserve">The primary concern is an oversized initial JavaScript bundle (estimated 300KB+ parsed) due to lack of code-splitting. Heavy libraries like Leaflet, PostHog, and Capacitor plugins load on every page regardless of whether they are needed. This directly impacts Time to Interactive and will cause noticeable delays on target devices.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336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3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code-splitting or dynamic imports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All pages import all components synchronously. The main bundle includes map libraries (~85KB), PostHog (~45KB), and Capacitor dependencies (~200KB+) even when not needed on the current page. This results in 300KB+ JavaScript parsed on initial load.</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Use Next.js dynamic() imports for heavy components: maps, analytics, Capacitor plugins. Lazy-load PostHog after first interaction. Split route-level bundles.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PostHog blocks critical render path</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PostHog SDK (~45KB) loads synchronously during initial page render, adding 200-400ms to First Contentful Paint on mobile connections.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Load PostHog asynchronously after page interactive. Use requestIdleCallback or load on first user interaction. Consider the PostHog lite snippet for initial pageview.</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Capacitor dependencies in web bundle</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Capacitor plugins (@capacitor/push-notifications, @capacitor/app, etc.) are imported unconditionally but only needed for native iOS/Android builds. This adds ~200KB to the web bundle.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Use dynamic imports with platform detection: only import Capacitor modules when running in a native context. Tree-shake web builds to exclude native-only code.</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Map bundle loaded on all pages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Leaflet and React-Leaflet (~85KB combined) appear to be imported eagerly even on pages that don't display maps.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Dynamically import map components only on pages that use them. Use a loading placeholder while the map chunk loads.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image optimization strategy</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images.unoptimized is set to true in next.config.ts. User-uploaded images and avatars load at original resolution regardless of display size.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Use Supabase Storage image transformations for resizing. Serve WebP format. Implement srcset for responsive images. Consider a CDN with automatic optimization.</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Missing React memoization</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Components re-render unnecessarily due to missing useMemo and useCallback hooks on computed values and event handlers passed as props.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Add useMemo for expensive computations (filtered lists, sorted data). Wrap callback props with useCallback. Memoize context provider values.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Context providers not memoized</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ThemeContext and LanguageContext providers recreate their value objects on every render, causing all consumers to re-render.</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Memoize the value prop in context providers using useMemo. Split contexts if they contain both frequently and rarely changing values.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service worker cache strategy for static assets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The service worker only caches the offline page. Static assets (JS bundles, CSS, images) are fetched from network every time, missing an opportunity for instant loading.</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Implement a stale-while-revalidate strategy for static assets. Pre-cache critical assets during service worker installation. Cache API responses with appropriate TTLs.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prefetching or preloading</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Critical resources like fonts and above-the-fold images don't use link rel=preload. Route prefetching is not configured for likely navigation paths.</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Add preload hints for critical fonts and hero images. Use Next.js Link prefetch for common navigation paths.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bundle analysis configured</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webpack-bundle-analyzer or similar tool is configured, making it difficult to identify bloat and optimization opportunities.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Add @next/bundle-analyzer to the dev dependencies. Run periodic bundle audits to catch size regressions.</w:t>
            </w:r>
          </w:p>
        </w:tc>
      </w:tr>
    </w:tbl>
    <w:p>
      <w:r>
        <w:br w:type="page"/>
      </w:r>
    </w:p>
    <w:p>
      <w:pPr>
        <w:pStyle w:val="Heading1"/>
      </w:pPr>
      <w:r>
        <w:rPr>
          <w:rFonts w:ascii="Arial" w:cs="Arial" w:eastAsia="Arial" w:hAnsi="Arial"/>
          <w:b/>
          <w:bCs/>
          <w:color w:val="2C3E50"/>
          <w:sz w:val="32"/>
          <w:szCs w:val="32"/>
        </w:rPr>
        <w:t xml:space="preserve">3. UI/UX Quality Audit</w:t>
      </w:r>
    </w:p>
    <w:p>
      <w:pPr>
        <w:spacing w:after="120"/>
      </w:pPr>
      <w:r>
        <w:rPr>
          <w:rFonts w:ascii="Arial" w:cs="Arial" w:eastAsia="Arial" w:hAnsi="Arial"/>
          <w:color w:val="2C3E50"/>
          <w:sz w:val="22"/>
          <w:szCs w:val="22"/>
        </w:rPr>
        <w:t xml:space="preserve">The UI/UX audit evaluated visual consistency, accessibility compliance (WCAG), internationalization readiness, error handling experience, loading states, and overall mobile usability. For Tribe to succeed in the Medellin market, the Spanish-language experience must feel native rather than an afterthought.</w:t>
      </w:r>
    </w:p>
    <w:p>
      <w:pPr>
        <w:spacing w:after="120"/>
      </w:pPr>
      <w:r>
        <w:rPr>
          <w:rFonts w:ascii="Arial" w:cs="Arial" w:eastAsia="Arial" w:hAnsi="Arial"/>
          <w:color w:val="2C3E50"/>
          <w:sz w:val="22"/>
          <w:szCs w:val="22"/>
        </w:rPr>
        <w:t xml:space="preserve">The most impactful finding is that Spanish translations cover only 30-40% of the app's strings. For a product targeting Colombia, launching with predominantly English UI will severely limit adoption. Component file sizes exceeding the project's own 300-line standard indicate areas needing decomposition for maintainability.</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336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3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7 component files exceed 300-line limit</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Several components exceed the project's own 300-line limit: SessionDetailPage (~450 lines), CreateSessionPage (~380 lines), ProfilePage (~400 lines), ChatComponent (~350 lines), and others. Large files are harder to maintain and indicate components that should be decomposed.</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Split large components into focused sub-components. Extract form sections, list renders, and modal content into separate files. Follow single-responsibility principle.</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Internationalization only 30-40% complete</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Many UI strings remain hardcoded in English. The Spanish translations in es.json cover approximately 30-40% of the app's strings. This is a critical gap for the target Colombia/Medellin market.</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Audit all components for hardcoded strings. Extract all text to the translation files. Complete es.json to 100% coverage. Consider professional translation review for the Spanish content.</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Inconsistent loading states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Some pages show skeleton loaders, others show spinners, and some show nothing during data fetching. This creates a disjointed user experience.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Create a standardized set of loading components (skeleton screens for content, spinners for actions). Apply consistently across all data-fetching pages.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Accessibility gaps in interactive elements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Several interactive elements lack proper aria-labels, alt text on images, and keyboard navigation support. Form inputs missing associated labels.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Audit all interactive elements with an accessibility tool (axe-core). Add aria-labels to icon buttons, alt text to all images, and proper label associations to form inputs.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error boundary implementation</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The app lacks React error boundaries, meaning a single component crash can white-screen the entire application.</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Add error boundaries at the route level and around critical components (maps, chat). Provide user-friendly fallback UIs with retry options.</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Toast notifications may overlap</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Multiple rapid toast notifications can stack and overlap, especially on smaller mobile screens, creating a cluttered experience.</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Implement a toast queue with maximum visible count. Auto-dismiss older toasts when new ones arrive. Ensure toasts don't block interactive UI elements.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empty state designs for lists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Session lists, chat histories, and search results show blank space when empty rather than helpful empty state illustrations and calls-to-action.</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Design empty state components with illustrations and actionable messages (e.g., 'No sessions nearby. Create one?' with a CTA button).</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Dark mode color contrast issues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Some text in dark mode doesn't meet WCAG AA contrast ratios, particularly secondary text and placeholder text in form inputs.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Audit all color combinations in dark mode against WCAG AA standards (4.5:1 for normal text, 3:1 for large text). Adjust tribe-gray-* tokens as needed.</w:t>
            </w:r>
          </w:p>
        </w:tc>
      </w:tr>
    </w:tbl>
    <w:p>
      <w:r>
        <w:br w:type="page"/>
      </w:r>
    </w:p>
    <w:p>
      <w:pPr>
        <w:pStyle w:val="Heading1"/>
      </w:pPr>
      <w:r>
        <w:rPr>
          <w:rFonts w:ascii="Arial" w:cs="Arial" w:eastAsia="Arial" w:hAnsi="Arial"/>
          <w:b/>
          <w:bCs/>
          <w:color w:val="2C3E50"/>
          <w:sz w:val="32"/>
          <w:szCs w:val="32"/>
        </w:rPr>
        <w:t xml:space="preserve">4. Code Quality Audit</w:t>
      </w:r>
    </w:p>
    <w:p>
      <w:pPr>
        <w:spacing w:after="120"/>
      </w:pPr>
      <w:r>
        <w:rPr>
          <w:rFonts w:ascii="Arial" w:cs="Arial" w:eastAsia="Arial" w:hAnsi="Arial"/>
          <w:color w:val="2C3E50"/>
          <w:sz w:val="22"/>
          <w:szCs w:val="22"/>
        </w:rPr>
        <w:t xml:space="preserve">The code quality audit examined TypeScript discipline, architectural patterns, testing coverage, CI/CD maturity, and adherence to the project's own engineering standards. The overall code quality score is 82/100, reflecting a well-architected foundation with specific improvement areas.</w:t>
      </w:r>
    </w:p>
    <w:p>
      <w:pPr>
        <w:spacing w:after="120"/>
      </w:pPr>
      <w:r>
        <w:rPr>
          <w:rFonts w:ascii="Arial" w:cs="Arial" w:eastAsia="Arial" w:hAnsi="Arial"/>
          <w:color w:val="2C3E50"/>
          <w:sz w:val="22"/>
          <w:szCs w:val="22"/>
        </w:rPr>
        <w:t xml:space="preserve">Strengths: The Data Access Layer (DAL) pattern in lib/dal/ is well-implemented, with all database operations properly encapsulated. TypeScript interfaces are used consistently for data models, and the project structure follows Next.js App Router conventions cleanly. The translation system architecture (useLanguage hook, t() function) is well-designed even though coverage is incomplete.</w:t>
      </w:r>
    </w:p>
    <w:p>
      <w:pPr>
        <w:spacing w:after="120"/>
      </w:pPr>
      <w:r>
        <w:rPr>
          <w:rFonts w:ascii="Arial" w:cs="Arial" w:eastAsia="Arial" w:hAnsi="Arial"/>
          <w:color w:val="2C3E50"/>
          <w:sz w:val="22"/>
          <w:szCs w:val="22"/>
        </w:rPr>
        <w:t xml:space="preserve">Gaps: The complete absence of automated tests is the most significant code quality concern. Combined with no CI/CD pipeline, code ships without any automated quality gates. Enabling TypeScript strict mode would catch an entire class of null-reference bugs at compile time.</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336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3000"/>
            <w:tcBorders>
              <w:top w:val="single" w:color="DEE2E6" w:sz="1"/>
              <w:left w:val="single" w:color="DEE2E6" w:sz="1"/>
              <w:bottom w:val="single" w:color="DEE2E6" w:sz="1"/>
              <w:right w:val="single" w:color="DEE2E6" w:sz="1"/>
            </w:tcBorders>
            <w:shd w:fill="1A2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Missing TypeScript strict mode</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tsconfig.json does not enable strict mode, allowing implicit any types and potential null reference errors to slip through.</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Enable strict: true in tsconfig.json. Address type errors incrementally. At minimum enable strictNullChecks and noImplicitAny.</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Inconsistent error handling patterns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Some try-catch blocks log errors with console.error, others use the lib/logger.ts utility, and some have empty catch blocks. No unified error reporting.</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Standardize on lib/logger.ts for all error logging. Remove all empty catch blocks. Add error context (component name, action) to log calls.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No automated testing</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The project has zero test files. No unit tests, integration tests, or end-to-end tests are configured.</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Set up Jest for unit/integration tests and Playwright for E2E tests. Start with tests for critical flows: authentication, session creation, session joining. Aim for 60%+ coverage on DAL layer.</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CI/CD pipeline configuration</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GitHub Actions, Vercel build checks, or other CI/CD configuration files are present. Code ships without automated quality gates.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Add GitHub Actions workflow for lint, type-check, and test on pull requests. Configure Vercel build previews. Add branch protection rules requiring passing checks.</w:t>
            </w:r>
          </w:p>
        </w:tc>
      </w:tr>
      <w:tr>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DAL pattern well-implemented</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The lib/dal/ directory properly encapsulates all Supabase operations. Components don't make direct database calls, which is a strong architectural pattern.</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C3E50"/>
                <w:sz w:val="20"/>
                <w:szCs w:val="20"/>
              </w:rPr>
              <w:t xml:space="preserve">Continue this pattern for all new features. Document the DAL API for team onboarding. Consider adding a thin validation layer in the DAL.</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Good use of TypeScript interfaces</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Most data models have proper TypeScript interfaces. Props are generally well-typed across components.</w:t>
            </w:r>
          </w:p>
        </w:tc>
        <w:tc>
          <w:tcPr>
            <w:tcW w:type="dxa" w:w="3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Fill remaining gaps where 'any' is used. Generate Supabase types from the database schema using supabase gen types.</w:t>
            </w:r>
          </w:p>
        </w:tc>
      </w:tr>
    </w:tbl>
    <w:p>
      <w:r>
        <w:br w:type="page"/>
      </w:r>
    </w:p>
    <w:p>
      <w:pPr>
        <w:pStyle w:val="Heading1"/>
      </w:pPr>
      <w:r>
        <w:rPr>
          <w:rFonts w:ascii="Arial" w:cs="Arial" w:eastAsia="Arial" w:hAnsi="Arial"/>
          <w:b/>
          <w:bCs/>
          <w:color w:val="2C3E50"/>
          <w:sz w:val="32"/>
          <w:szCs w:val="32"/>
        </w:rPr>
        <w:t xml:space="preserve">5. Prioritized Action Plan</w:t>
      </w:r>
    </w:p>
    <w:p>
      <w:pPr>
        <w:spacing w:after="120"/>
      </w:pPr>
      <w:r>
        <w:rPr>
          <w:rFonts w:ascii="Arial" w:cs="Arial" w:eastAsia="Arial" w:hAnsi="Arial"/>
          <w:color w:val="2C3E50"/>
          <w:sz w:val="22"/>
          <w:szCs w:val="22"/>
        </w:rPr>
        <w:t xml:space="preserve">Based on the audit findings, the following action plan is organized into three phases. Phase 1 addresses issues that pose immediate risk to users or data. Phase 2 tackles performance and UX issues that would impact user retention. Phase 3 covers maintainability improvements for long-term code health.</w:t>
      </w:r>
    </w:p>
    <w:p>
      <w:pPr>
        <w:pStyle w:val="Heading2"/>
      </w:pPr>
      <w:r>
        <w:rPr>
          <w:rFonts w:ascii="Arial" w:cs="Arial" w:eastAsia="Arial" w:hAnsi="Arial"/>
          <w:b/>
          <w:bCs/>
          <w:color w:val="2C3E50"/>
          <w:sz w:val="28"/>
          <w:szCs w:val="28"/>
        </w:rPr>
        <w:t xml:space="preserve">Phase 1: Critical Security Fixes (Week 1-2)</w:t>
      </w:r>
    </w:p>
    <w:p>
      <w:pPr>
        <w:pStyle w:val="ListParagraph"/>
        <w:numPr>
          <w:ilvl w:val="0"/>
          <w:numId w:val="2"/>
        </w:numPr>
        <w:spacing w:after="80"/>
      </w:pPr>
      <w:r>
        <w:rPr>
          <w:rFonts w:ascii="Arial" w:cs="Arial" w:eastAsia="Arial" w:hAnsi="Arial"/>
          <w:sz w:val="22"/>
          <w:szCs w:val="22"/>
        </w:rPr>
        <w:t xml:space="preserve">Secure all API routes </w:t>
      </w:r>
      <w:r>
        <w:rPr>
          <w:rFonts w:ascii="Arial" w:cs="Arial" w:eastAsia="Arial" w:hAnsi="Arial"/>
          <w:color w:val="666666"/>
          <w:sz w:val="22"/>
          <w:szCs w:val="22"/>
        </w:rPr>
        <w:t xml:space="preserve">- Add Supabase auth verification to every /api/* handler. This is the single highest-risk item.</w:t>
      </w:r>
    </w:p>
    <w:p>
      <w:pPr>
        <w:pStyle w:val="ListParagraph"/>
        <w:numPr>
          <w:ilvl w:val="0"/>
          <w:numId w:val="2"/>
        </w:numPr>
        <w:spacing w:after="80"/>
      </w:pPr>
      <w:r>
        <w:rPr>
          <w:rFonts w:ascii="Arial" w:cs="Arial" w:eastAsia="Arial" w:hAnsi="Arial"/>
          <w:sz w:val="22"/>
          <w:szCs w:val="22"/>
        </w:rPr>
        <w:t xml:space="preserve">Restrict Google Places API key </w:t>
      </w:r>
      <w:r>
        <w:rPr>
          <w:rFonts w:ascii="Arial" w:cs="Arial" w:eastAsia="Arial" w:hAnsi="Arial"/>
          <w:color w:val="666666"/>
          <w:sz w:val="22"/>
          <w:szCs w:val="22"/>
        </w:rPr>
        <w:t xml:space="preserve">- Add HTTP referrer restrictions and API scope limits in Google Cloud Console immediately.</w:t>
      </w:r>
    </w:p>
    <w:p>
      <w:pPr>
        <w:pStyle w:val="ListParagraph"/>
        <w:numPr>
          <w:ilvl w:val="0"/>
          <w:numId w:val="2"/>
        </w:numPr>
        <w:spacing w:after="80"/>
      </w:pPr>
      <w:r>
        <w:rPr>
          <w:rFonts w:ascii="Arial" w:cs="Arial" w:eastAsia="Arial" w:hAnsi="Arial"/>
          <w:sz w:val="22"/>
          <w:szCs w:val="22"/>
        </w:rPr>
        <w:t xml:space="preserve">Tighten RLS SELECT policies </w:t>
      </w:r>
      <w:r>
        <w:rPr>
          <w:rFonts w:ascii="Arial" w:cs="Arial" w:eastAsia="Arial" w:hAnsi="Arial"/>
          <w:color w:val="666666"/>
          <w:sz w:val="22"/>
          <w:szCs w:val="22"/>
        </w:rPr>
        <w:t xml:space="preserve">- Restrict users table to only expose public profile fields. Verify chat_messages RLS.</w:t>
      </w:r>
    </w:p>
    <w:p>
      <w:pPr>
        <w:pStyle w:val="ListParagraph"/>
        <w:numPr>
          <w:ilvl w:val="0"/>
          <w:numId w:val="2"/>
        </w:numPr>
        <w:spacing w:after="80"/>
      </w:pPr>
      <w:r>
        <w:rPr>
          <w:rFonts w:ascii="Arial" w:cs="Arial" w:eastAsia="Arial" w:hAnsi="Arial"/>
          <w:sz w:val="22"/>
          <w:szCs w:val="22"/>
        </w:rPr>
        <w:t xml:space="preserve">Replace in-memory rate limiting </w:t>
      </w:r>
      <w:r>
        <w:rPr>
          <w:rFonts w:ascii="Arial" w:cs="Arial" w:eastAsia="Arial" w:hAnsi="Arial"/>
          <w:color w:val="666666"/>
          <w:sz w:val="22"/>
          <w:szCs w:val="22"/>
        </w:rPr>
        <w:t xml:space="preserve">- Switch to Upstash Redis or Supabase-backed rate limiting for serverless compatibility.</w:t>
      </w:r>
    </w:p>
    <w:p>
      <w:pPr>
        <w:pStyle w:val="Heading2"/>
      </w:pPr>
      <w:r>
        <w:rPr>
          <w:rFonts w:ascii="Arial" w:cs="Arial" w:eastAsia="Arial" w:hAnsi="Arial"/>
          <w:b/>
          <w:bCs/>
          <w:color w:val="2C3E50"/>
          <w:sz w:val="28"/>
          <w:szCs w:val="28"/>
        </w:rPr>
        <w:t xml:space="preserve">Phase 2: Performance and UX (Week 3-4)</w:t>
      </w:r>
    </w:p>
    <w:p>
      <w:pPr>
        <w:pStyle w:val="ListParagraph"/>
        <w:numPr>
          <w:ilvl w:val="0"/>
          <w:numId w:val="2"/>
        </w:numPr>
        <w:spacing w:after="80"/>
      </w:pPr>
      <w:r>
        <w:rPr>
          <w:rFonts w:ascii="Arial" w:cs="Arial" w:eastAsia="Arial" w:hAnsi="Arial"/>
          <w:sz w:val="22"/>
          <w:szCs w:val="22"/>
        </w:rPr>
        <w:t xml:space="preserve">Implement code-splitting </w:t>
      </w:r>
      <w:r>
        <w:rPr>
          <w:rFonts w:ascii="Arial" w:cs="Arial" w:eastAsia="Arial" w:hAnsi="Arial"/>
          <w:color w:val="666666"/>
          <w:sz w:val="22"/>
          <w:szCs w:val="22"/>
        </w:rPr>
        <w:t xml:space="preserve">- Dynamic imports for maps, PostHog, and Capacitor. Target 50%+ reduction in initial bundle.</w:t>
      </w:r>
    </w:p>
    <w:p>
      <w:pPr>
        <w:pStyle w:val="ListParagraph"/>
        <w:numPr>
          <w:ilvl w:val="0"/>
          <w:numId w:val="2"/>
        </w:numPr>
        <w:spacing w:after="80"/>
      </w:pPr>
      <w:r>
        <w:rPr>
          <w:rFonts w:ascii="Arial" w:cs="Arial" w:eastAsia="Arial" w:hAnsi="Arial"/>
          <w:sz w:val="22"/>
          <w:szCs w:val="22"/>
        </w:rPr>
        <w:t xml:space="preserve">Complete Spanish translations </w:t>
      </w:r>
      <w:r>
        <w:rPr>
          <w:rFonts w:ascii="Arial" w:cs="Arial" w:eastAsia="Arial" w:hAnsi="Arial"/>
          <w:color w:val="666666"/>
          <w:sz w:val="22"/>
          <w:szCs w:val="22"/>
        </w:rPr>
        <w:t xml:space="preserve">- Audit all components for hardcoded strings. Reach 100% coverage in es.json. Professional review recommended.</w:t>
      </w:r>
    </w:p>
    <w:p>
      <w:pPr>
        <w:pStyle w:val="ListParagraph"/>
        <w:numPr>
          <w:ilvl w:val="0"/>
          <w:numId w:val="2"/>
        </w:numPr>
        <w:spacing w:after="80"/>
      </w:pPr>
      <w:r>
        <w:rPr>
          <w:rFonts w:ascii="Arial" w:cs="Arial" w:eastAsia="Arial" w:hAnsi="Arial"/>
          <w:sz w:val="22"/>
          <w:szCs w:val="22"/>
        </w:rPr>
        <w:t xml:space="preserve">Standardize loading and error states </w:t>
      </w:r>
      <w:r>
        <w:rPr>
          <w:rFonts w:ascii="Arial" w:cs="Arial" w:eastAsia="Arial" w:hAnsi="Arial"/>
          <w:color w:val="666666"/>
          <w:sz w:val="22"/>
          <w:szCs w:val="22"/>
        </w:rPr>
        <w:t xml:space="preserve">- Create shared skeleton/spinner components. Add error boundaries at route level.</w:t>
      </w:r>
    </w:p>
    <w:p>
      <w:pPr>
        <w:pStyle w:val="ListParagraph"/>
        <w:numPr>
          <w:ilvl w:val="0"/>
          <w:numId w:val="2"/>
        </w:numPr>
        <w:spacing w:after="80"/>
      </w:pPr>
      <w:r>
        <w:rPr>
          <w:rFonts w:ascii="Arial" w:cs="Arial" w:eastAsia="Arial" w:hAnsi="Arial"/>
          <w:sz w:val="22"/>
          <w:szCs w:val="22"/>
        </w:rPr>
        <w:t xml:space="preserve">Improve service worker caching </w:t>
      </w:r>
      <w:r>
        <w:rPr>
          <w:rFonts w:ascii="Arial" w:cs="Arial" w:eastAsia="Arial" w:hAnsi="Arial"/>
          <w:color w:val="666666"/>
          <w:sz w:val="22"/>
          <w:szCs w:val="22"/>
        </w:rPr>
        <w:t xml:space="preserve">- Add cache versioning, stale-while-revalidate for static assets, and cache cleanup.</w:t>
      </w:r>
    </w:p>
    <w:p>
      <w:pPr>
        <w:pStyle w:val="Heading2"/>
      </w:pPr>
      <w:r>
        <w:rPr>
          <w:rFonts w:ascii="Arial" w:cs="Arial" w:eastAsia="Arial" w:hAnsi="Arial"/>
          <w:b/>
          <w:bCs/>
          <w:color w:val="2C3E50"/>
          <w:sz w:val="28"/>
          <w:szCs w:val="28"/>
        </w:rPr>
        <w:t xml:space="preserve">Phase 3: Code Health and Maintainability (Week 5-6)</w:t>
      </w:r>
    </w:p>
    <w:p>
      <w:pPr>
        <w:pStyle w:val="ListParagraph"/>
        <w:numPr>
          <w:ilvl w:val="0"/>
          <w:numId w:val="2"/>
        </w:numPr>
        <w:spacing w:after="80"/>
      </w:pPr>
      <w:r>
        <w:rPr>
          <w:rFonts w:ascii="Arial" w:cs="Arial" w:eastAsia="Arial" w:hAnsi="Arial"/>
          <w:sz w:val="22"/>
          <w:szCs w:val="22"/>
        </w:rPr>
        <w:t xml:space="preserve">Set up automated testing </w:t>
      </w:r>
      <w:r>
        <w:rPr>
          <w:rFonts w:ascii="Arial" w:cs="Arial" w:eastAsia="Arial" w:hAnsi="Arial"/>
          <w:color w:val="666666"/>
          <w:sz w:val="22"/>
          <w:szCs w:val="22"/>
        </w:rPr>
        <w:t xml:space="preserve">- Jest for unit/integration tests, Playwright for E2E. Start with auth flows and session CRUD.</w:t>
      </w:r>
    </w:p>
    <w:p>
      <w:pPr>
        <w:pStyle w:val="ListParagraph"/>
        <w:numPr>
          <w:ilvl w:val="0"/>
          <w:numId w:val="2"/>
        </w:numPr>
        <w:spacing w:after="80"/>
      </w:pPr>
      <w:r>
        <w:rPr>
          <w:rFonts w:ascii="Arial" w:cs="Arial" w:eastAsia="Arial" w:hAnsi="Arial"/>
          <w:sz w:val="22"/>
          <w:szCs w:val="22"/>
        </w:rPr>
        <w:t xml:space="preserve">Configure CI/CD pipeline </w:t>
      </w:r>
      <w:r>
        <w:rPr>
          <w:rFonts w:ascii="Arial" w:cs="Arial" w:eastAsia="Arial" w:hAnsi="Arial"/>
          <w:color w:val="666666"/>
          <w:sz w:val="22"/>
          <w:szCs w:val="22"/>
        </w:rPr>
        <w:t xml:space="preserve">- GitHub Actions for lint, type-check, and test. Branch protection requiring passing checks.</w:t>
      </w:r>
    </w:p>
    <w:p>
      <w:pPr>
        <w:pStyle w:val="ListParagraph"/>
        <w:numPr>
          <w:ilvl w:val="0"/>
          <w:numId w:val="2"/>
        </w:numPr>
        <w:spacing w:after="80"/>
      </w:pPr>
      <w:r>
        <w:rPr>
          <w:rFonts w:ascii="Arial" w:cs="Arial" w:eastAsia="Arial" w:hAnsi="Arial"/>
          <w:sz w:val="22"/>
          <w:szCs w:val="22"/>
        </w:rPr>
        <w:t xml:space="preserve">Enable TypeScript strict mode </w:t>
      </w:r>
      <w:r>
        <w:rPr>
          <w:rFonts w:ascii="Arial" w:cs="Arial" w:eastAsia="Arial" w:hAnsi="Arial"/>
          <w:color w:val="666666"/>
          <w:sz w:val="22"/>
          <w:szCs w:val="22"/>
        </w:rPr>
        <w:t xml:space="preserve">- Enable strict: true and address type errors incrementally over the phase.</w:t>
      </w:r>
    </w:p>
    <w:p>
      <w:pPr>
        <w:pStyle w:val="ListParagraph"/>
        <w:numPr>
          <w:ilvl w:val="0"/>
          <w:numId w:val="2"/>
        </w:numPr>
        <w:spacing w:after="80"/>
      </w:pPr>
      <w:r>
        <w:rPr>
          <w:rFonts w:ascii="Arial" w:cs="Arial" w:eastAsia="Arial" w:hAnsi="Arial"/>
          <w:sz w:val="22"/>
          <w:szCs w:val="22"/>
        </w:rPr>
        <w:t xml:space="preserve">Decompose oversized components </w:t>
      </w:r>
      <w:r>
        <w:rPr>
          <w:rFonts w:ascii="Arial" w:cs="Arial" w:eastAsia="Arial" w:hAnsi="Arial"/>
          <w:color w:val="666666"/>
          <w:sz w:val="22"/>
          <w:szCs w:val="22"/>
        </w:rPr>
        <w:t xml:space="preserve">- Split the 7 files exceeding 300 lines into focused sub-components.</w:t>
      </w:r>
    </w:p>
    <w:p>
      <w:pPr>
        <w:pBdr>
          <w:top w:val="single" w:color="DEE2E6" w:sz="2" w:space="8"/>
        </w:pBdr>
        <w:spacing w:before="400"/>
      </w:pPr>
    </w:p>
    <w:p>
      <w:pPr>
        <w:spacing w:before="200"/>
        <w:jc w:val="center"/>
      </w:pPr>
      <w:r>
        <w:rPr>
          <w:rFonts w:ascii="Arial" w:cs="Arial" w:eastAsia="Arial" w:hAnsi="Arial"/>
          <w:i/>
          <w:iCs/>
          <w:color w:val="999999"/>
          <w:sz w:val="18"/>
          <w:szCs w:val="18"/>
        </w:rPr>
        <w:t xml:space="preserve">Report generated March 19, 2026</w:t>
      </w:r>
    </w:p>
    <w:p>
      <w:pPr>
        <w:jc w:val="center"/>
      </w:pPr>
      <w:r>
        <w:rPr>
          <w:rFonts w:ascii="Arial" w:cs="Arial" w:eastAsia="Arial" w:hAnsi="Arial"/>
          <w:i/>
          <w:iCs/>
          <w:color w:val="999999"/>
          <w:sz w:val="18"/>
          <w:szCs w:val="18"/>
        </w:rPr>
        <w:t xml:space="preserve">Tribe v3 — Connecting Athletes in Medellin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TRIBE v3 — Codebase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2026-03-19T16:49:47.100Z</dcterms:created>
  <dcterms:modified xsi:type="dcterms:W3CDTF">2026-03-19T16:49:47.100Z</dcterms:modified>
</cp:coreProperties>
</file>

<file path=docProps/custom.xml><?xml version="1.0" encoding="utf-8"?>
<Properties xmlns="http://schemas.openxmlformats.org/officeDocument/2006/custom-properties" xmlns:vt="http://schemas.openxmlformats.org/officeDocument/2006/docPropsVTypes"/>
</file>