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Melomanos Entertainment LLC</w:t>
      </w:r>
    </w:p>
    <w:p>
      <w:r>
        <w:t>Dated the 30 day of May, 2024</w:t>
      </w:r>
    </w:p>
    <w:p>
      <w:pPr/>
      <w:r>
        <w:t xml:space="preserve">Song split agreement Gentlemen: </w:t>
      </w:r>
    </w:p>
    <w:p>
      <w:pPr/>
      <w:r>
        <w:t xml:space="preserve">This Songwriters’ Split Acknowledgement will confirm that the individuals (“the “Writers”) listed below are the sole writers of the musical composition entitled “"Azul"” (the “Composition”) initially performed by “"Balvin"”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WRITERS</w:t>
            </w:r>
          </w:p>
        </w:tc>
        <w:tc>
          <w:tcPr>
            <w:tcW w:type="dxa" w:w="1728"/>
          </w:tcPr>
          <w:p>
            <w:r>
              <w:t>PUBLISHERS</w:t>
            </w:r>
          </w:p>
        </w:tc>
        <w:tc>
          <w:tcPr>
            <w:tcW w:type="dxa" w:w="1728"/>
          </w:tcPr>
          <w:p>
            <w:r>
              <w:t>OWNERSHIP (%)</w:t>
            </w:r>
          </w:p>
        </w:tc>
        <w:tc>
          <w:tcPr>
            <w:tcW w:type="dxa" w:w="1728"/>
          </w:tcPr>
          <w:p>
            <w:r>
              <w:t>PRO</w:t>
            </w:r>
          </w:p>
        </w:tc>
        <w:tc>
          <w:tcPr>
            <w:tcW w:type="dxa" w:w="1728"/>
          </w:tcPr>
          <w:p>
            <w:r>
              <w:t>SIGNATURE</w:t>
            </w:r>
          </w:p>
        </w:tc>
      </w:tr>
      <w:tr>
        <w:tc>
          <w:tcPr>
            <w:tcW w:type="dxa" w:w="1728"/>
          </w:tcPr>
          <w:p>
            <w:r>
              <w:t>Alain De Armas</w:t>
              <w:br/>
              <w:t>IPI: 1033021336.0</w:t>
            </w:r>
          </w:p>
        </w:tc>
        <w:tc>
          <w:tcPr>
            <w:tcW w:type="dxa" w:w="1728"/>
          </w:tcPr>
          <w:p>
            <w:r>
              <w:t>Alizzy Music Publishing</w:t>
              <w:br/>
              <w:t>IPI: 1143208102.0</w:t>
            </w:r>
          </w:p>
        </w:tc>
        <w:tc>
          <w:tcPr>
            <w:tcW w:type="dxa" w:w="1728"/>
          </w:tcPr>
          <w:p>
            <w:r/>
          </w:p>
        </w:tc>
        <w:tc>
          <w:tcPr>
            <w:tcW w:type="dxa" w:w="1728"/>
          </w:tcPr>
          <w:p>
            <w:r>
              <w:t>BMI</w:t>
            </w:r>
          </w:p>
        </w:tc>
        <w:tc>
          <w:tcPr>
            <w:tcW w:type="dxa" w:w="1728"/>
          </w:tcPr>
          <w:p>
            <w:r/>
          </w:p>
        </w:tc>
      </w:tr>
      <w:tr>
        <w:tc>
          <w:tcPr>
            <w:tcW w:type="dxa" w:w="1728"/>
          </w:tcPr>
          <w:p>
            <w:r>
              <w:t>Alejandro Estevez</w:t>
              <w:br/>
              <w:t>IPI: 370619558.0</w:t>
            </w:r>
          </w:p>
        </w:tc>
        <w:tc>
          <w:tcPr>
            <w:tcW w:type="dxa" w:w="1728"/>
          </w:tcPr>
          <w:p>
            <w:r>
              <w:t>nan</w:t>
              <w:br/>
              <w:t>IPI: nan</w:t>
            </w:r>
          </w:p>
        </w:tc>
        <w:tc>
          <w:tcPr>
            <w:tcW w:type="dxa" w:w="1728"/>
          </w:tcPr>
          <w:p>
            <w:r/>
          </w:p>
        </w:tc>
        <w:tc>
          <w:tcPr>
            <w:tcW w:type="dxa" w:w="1728"/>
          </w:tcPr>
          <w:p>
            <w:r>
              <w:t>ASCAP</w:t>
            </w:r>
          </w:p>
        </w:tc>
        <w:tc>
          <w:tcPr>
            <w:tcW w:type="dxa" w:w="1728"/>
          </w:tcPr>
          <w:p>
            <w:r/>
          </w:p>
        </w:tc>
      </w:tr>
      <w:tr>
        <w:tc>
          <w:tcPr>
            <w:tcW w:type="dxa" w:w="1728"/>
          </w:tcPr>
          <w:p>
            <w:r>
              <w:t>Alejandro Albuernes</w:t>
              <w:br/>
              <w:t>IPI: 7316203.0</w:t>
            </w:r>
          </w:p>
        </w:tc>
        <w:tc>
          <w:tcPr>
            <w:tcW w:type="dxa" w:w="1728"/>
          </w:tcPr>
          <w:p>
            <w:r>
              <w:t>nan</w:t>
              <w:br/>
              <w:t>IPI: nan</w:t>
            </w:r>
          </w:p>
        </w:tc>
        <w:tc>
          <w:tcPr>
            <w:tcW w:type="dxa" w:w="1728"/>
          </w:tcPr>
          <w:p>
            <w:r/>
          </w:p>
        </w:tc>
        <w:tc>
          <w:tcPr>
            <w:tcW w:type="dxa" w:w="1728"/>
          </w:tcPr>
          <w:p>
            <w:r>
              <w:t>ASCAP</w:t>
            </w:r>
          </w:p>
        </w:tc>
        <w:tc>
          <w:tcPr>
            <w:tcW w:type="dxa" w:w="1728"/>
          </w:tcPr>
          <w:p>
            <w:r/>
          </w:p>
        </w:tc>
      </w:tr>
      <w:tr>
        <w:tc>
          <w:tcPr>
            <w:tcW w:type="dxa" w:w="1728"/>
          </w:tcPr>
          <w:p>
            <w:r>
              <w:t>Randy Malcom Martinez Amey</w:t>
              <w:br/>
              <w:t>IPI: 592835216.0</w:t>
            </w:r>
          </w:p>
        </w:tc>
        <w:tc>
          <w:tcPr>
            <w:tcW w:type="dxa" w:w="1728"/>
          </w:tcPr>
          <w:p>
            <w:r>
              <w:t>nan</w:t>
              <w:br/>
              <w:t>IPI: nan</w:t>
            </w:r>
          </w:p>
        </w:tc>
        <w:tc>
          <w:tcPr>
            <w:tcW w:type="dxa" w:w="1728"/>
          </w:tcPr>
          <w:p>
            <w:r/>
          </w:p>
        </w:tc>
        <w:tc>
          <w:tcPr>
            <w:tcW w:type="dxa" w:w="1728"/>
          </w:tcPr>
          <w:p>
            <w:r>
              <w:t>SGAE</w:t>
            </w:r>
          </w:p>
        </w:tc>
        <w:tc>
          <w:tcPr>
            <w:tcW w:type="dxa" w:w="1728"/>
          </w:tcPr>
          <w:p>
            <w:r/>
          </w:p>
        </w:tc>
      </w:tr>
    </w:tbl>
    <w:p>
      <w:r>
        <w:br/>
      </w:r>
    </w:p>
    <w:tbl>
      <w:tblPr>
        <w:tblStyle w:val="TableGrid"/>
        <w:tblW w:type="auto" w:w="0"/>
        <w:tblLook w:firstColumn="1" w:firstRow="1" w:lastColumn="0" w:lastRow="0" w:noHBand="0" w:noVBand="1" w:val="04A0"/>
      </w:tblPr>
      <w:tblGrid>
        <w:gridCol w:w="2880"/>
        <w:gridCol w:w="2880"/>
        <w:gridCol w:w="2880"/>
      </w:tblGrid>
      <w:tr>
        <w:tc>
          <w:tcPr>
            <w:tcW w:type="dxa" w:w="2880"/>
          </w:tcPr>
          <w:p>
            <w:r>
              <w:t>_____________________________</w:t>
              <w:br/>
              <w:t>Signature: Alain De Armas</w:t>
            </w:r>
            <w:r>
              <w:br/>
              <w:br/>
            </w:r>
          </w:p>
        </w:tc>
        <w:tc>
          <w:tcPr>
            <w:tcW w:type="dxa" w:w="2880"/>
          </w:tcPr>
          <w:p>
            <w:r>
              <w:t>_____________________________</w:t>
              <w:br/>
              <w:t>Signature: Alejandro Estevez</w:t>
            </w:r>
            <w:r>
              <w:br/>
              <w:br/>
            </w:r>
          </w:p>
        </w:tc>
        <w:tc>
          <w:tcPr>
            <w:tcW w:type="dxa" w:w="2880"/>
          </w:tcPr>
          <w:p>
            <w:r>
              <w:t>_____________________________</w:t>
              <w:br/>
              <w:t>Signature: Alejandro Albuernes</w:t>
            </w:r>
            <w:r>
              <w:br/>
              <w:br/>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_____________________________</w:t>
              <w:br/>
              <w:t>Signature: Randy Malcom Martinez Amey</w:t>
            </w:r>
            <w:r>
              <w:br/>
              <w:br/>
            </w:r>
          </w:p>
        </w:tc>
        <w:tc>
          <w:tcPr>
            <w:tcW w:type="dxa" w:w="2880"/>
          </w:tcPr>
          <w:p/>
        </w:tc>
        <w:tc>
          <w:tcPr>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