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FD69F" w14:textId="77777777" w:rsidR="007A2594" w:rsidRDefault="00837AF0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Mojaloop data at rest (Databases)</w:t>
      </w:r>
    </w:p>
    <w:p w14:paraId="0049435E" w14:textId="77777777" w:rsidR="007A2594" w:rsidRDefault="00837A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Mojaloop data at rest include information from the following sources:</w:t>
      </w:r>
    </w:p>
    <w:p w14:paraId="15AA2A12" w14:textId="77777777" w:rsidR="007A2594" w:rsidRDefault="00837AF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logs</w:t>
      </w:r>
    </w:p>
    <w:p w14:paraId="3C1CB280" w14:textId="77777777" w:rsidR="007A2594" w:rsidRDefault="00837AF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and infrastructure configuration files</w:t>
      </w:r>
    </w:p>
    <w:p w14:paraId="33F8AA66" w14:textId="77777777" w:rsidR="007A2594" w:rsidRDefault="00837AF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and Application logs</w:t>
      </w:r>
    </w:p>
    <w:p w14:paraId="65ADD2FC" w14:textId="77777777" w:rsidR="007A2594" w:rsidRDefault="00837AF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</w:t>
      </w:r>
    </w:p>
    <w:p w14:paraId="5883F5C5" w14:textId="77777777" w:rsidR="007A2594" w:rsidRDefault="007A2594">
      <w:pPr>
        <w:rPr>
          <w:rFonts w:ascii="Calibri" w:eastAsia="Calibri" w:hAnsi="Calibri" w:cs="Calibri"/>
        </w:rPr>
      </w:pPr>
    </w:p>
    <w:p w14:paraId="597879CE" w14:textId="3348FF9A" w:rsidR="007A2594" w:rsidRDefault="00837A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standard's foundation</w:t>
      </w:r>
      <w:r>
        <w:rPr>
          <w:rFonts w:ascii="Calibri" w:eastAsia="Calibri" w:hAnsi="Calibri" w:cs="Calibri"/>
        </w:rPr>
        <w:t xml:space="preserve"> is a set of important</w:t>
      </w:r>
      <w:r>
        <w:rPr>
          <w:rFonts w:ascii="Calibri" w:eastAsia="Calibri" w:hAnsi="Calibri" w:cs="Calibri"/>
        </w:rPr>
        <w:t xml:space="preserve"> database security events and actions derived from and mapped to compliance and security requirements </w:t>
      </w:r>
      <w:r>
        <w:rPr>
          <w:rFonts w:ascii="Calibri" w:eastAsia="Calibri" w:hAnsi="Calibri" w:cs="Calibri"/>
        </w:rPr>
        <w:t>critical for payment providers. These compliance standards include:</w:t>
      </w:r>
    </w:p>
    <w:p w14:paraId="7DE5BB9C" w14:textId="77777777" w:rsidR="007A2594" w:rsidRDefault="007A2594">
      <w:pPr>
        <w:rPr>
          <w:rFonts w:ascii="Calibri" w:eastAsia="Calibri" w:hAnsi="Calibri" w:cs="Calibri"/>
        </w:rPr>
      </w:pPr>
    </w:p>
    <w:p w14:paraId="715B3F76" w14:textId="77777777" w:rsidR="007A2594" w:rsidRDefault="00837AF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PCI DSS</w:t>
      </w:r>
    </w:p>
    <w:p w14:paraId="549E925E" w14:textId="77777777" w:rsidR="007A2594" w:rsidRDefault="00837AF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SOX/COBIT</w:t>
      </w:r>
    </w:p>
    <w:p w14:paraId="62620DC4" w14:textId="77777777" w:rsidR="007A2594" w:rsidRDefault="00837AF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ISO 27001</w:t>
      </w:r>
    </w:p>
    <w:p w14:paraId="66B70E70" w14:textId="77777777" w:rsidR="007A2594" w:rsidRDefault="00837AF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NIST 800-53</w:t>
      </w:r>
    </w:p>
    <w:p w14:paraId="17B1D0A8" w14:textId="77777777" w:rsidR="007A2594" w:rsidRDefault="00837AF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CIS Benchmarks</w:t>
      </w:r>
    </w:p>
    <w:p w14:paraId="1B9E7B13" w14:textId="77777777" w:rsidR="007A2594" w:rsidRDefault="007A2594">
      <w:pPr>
        <w:rPr>
          <w:rFonts w:ascii="Calibri" w:eastAsia="Calibri" w:hAnsi="Calibri" w:cs="Calibri"/>
        </w:rPr>
      </w:pPr>
    </w:p>
    <w:p w14:paraId="29E44AAA" w14:textId="77777777" w:rsidR="007A2594" w:rsidRDefault="00837A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 common database vulnerabilities as seen from a STRIDE threat </w:t>
      </w:r>
      <w:proofErr w:type="gramStart"/>
      <w:r>
        <w:rPr>
          <w:rFonts w:ascii="Calibri" w:eastAsia="Calibri" w:hAnsi="Calibri" w:cs="Calibri"/>
        </w:rPr>
        <w:t>model  include</w:t>
      </w:r>
      <w:proofErr w:type="gramEnd"/>
      <w:r>
        <w:rPr>
          <w:rFonts w:ascii="Calibri" w:eastAsia="Calibri" w:hAnsi="Calibri" w:cs="Calibri"/>
        </w:rPr>
        <w:t>:</w:t>
      </w:r>
    </w:p>
    <w:p w14:paraId="36112F87" w14:textId="77777777" w:rsidR="007A2594" w:rsidRDefault="007A2594"/>
    <w:p w14:paraId="4C592ABB" w14:textId="77777777" w:rsidR="007A2594" w:rsidRDefault="007A259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1080"/>
        <w:gridCol w:w="1035"/>
        <w:gridCol w:w="900"/>
        <w:gridCol w:w="945"/>
        <w:gridCol w:w="885"/>
        <w:gridCol w:w="1050"/>
      </w:tblGrid>
      <w:tr w:rsidR="007A2594" w14:paraId="6FAD7AB7" w14:textId="77777777">
        <w:trPr>
          <w:trHeight w:val="420"/>
        </w:trPr>
        <w:tc>
          <w:tcPr>
            <w:tcW w:w="3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15DD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895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6F2B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STRIDE (See Appendix)</w:t>
            </w:r>
          </w:p>
        </w:tc>
      </w:tr>
      <w:tr w:rsidR="007A2594" w14:paraId="675D91DF" w14:textId="77777777">
        <w:tc>
          <w:tcPr>
            <w:tcW w:w="3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C43A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VULNERABILITY</w:t>
            </w:r>
          </w:p>
        </w:tc>
        <w:tc>
          <w:tcPr>
            <w:tcW w:w="10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C7C0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10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F322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</w:t>
            </w:r>
          </w:p>
        </w:tc>
        <w:tc>
          <w:tcPr>
            <w:tcW w:w="9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25C8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5FF7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</w:t>
            </w:r>
          </w:p>
        </w:tc>
        <w:tc>
          <w:tcPr>
            <w:tcW w:w="8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7FAA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7D31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</w:p>
        </w:tc>
      </w:tr>
      <w:tr w:rsidR="007A2594" w14:paraId="66F25F38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662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 control (no least privilege)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A66F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B915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1C6B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FAC7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9031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70DA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7A2594" w14:paraId="4B780DEA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C347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injection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7620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82DD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3EF0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5130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434E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E7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A2594" w14:paraId="355D424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A9F4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Weak audit trails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D301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8D48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B450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1A88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B976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A6A1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A2594" w14:paraId="4E8B6BA1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BAA9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Denial of service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D9AF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E4D1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0263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6F59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8BF0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5186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A2594" w14:paraId="4B2989AD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D32F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Communication protocol vulnerabilities (encryption)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87CA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48CB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699E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8C05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6970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F4C8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A2594" w14:paraId="1F263E8B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96B4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Weak authentication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3D9A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F7FE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83D8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D4A1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F231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0323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7A2594" w14:paraId="4B2FB138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1278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Inadequate recovery options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535E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2BD2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D5A2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6020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6EEA" w14:textId="77777777" w:rsidR="007A2594" w:rsidRDefault="0083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BED4" w14:textId="77777777" w:rsidR="007A2594" w:rsidRDefault="007A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FAE81E3" w14:textId="77777777" w:rsidR="007A2594" w:rsidRDefault="007A2594"/>
    <w:p w14:paraId="64B9EBC8" w14:textId="77777777" w:rsidR="007A2594" w:rsidRDefault="00837AF0">
      <w:r>
        <w:rPr>
          <w:rFonts w:ascii="Calibri" w:eastAsia="Calibri" w:hAnsi="Calibri" w:cs="Calibri"/>
          <w:color w:val="2E75B5"/>
          <w:sz w:val="32"/>
          <w:szCs w:val="32"/>
        </w:rPr>
        <w:t>Mojaloop environment databases:</w:t>
      </w:r>
    </w:p>
    <w:p w14:paraId="4B973D7C" w14:textId="77777777" w:rsidR="007A2594" w:rsidRDefault="00837A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are the application datastores identified in Mojaloop and their associated data:</w:t>
      </w:r>
    </w:p>
    <w:p w14:paraId="041E921F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Redis - Cache data</w:t>
      </w:r>
    </w:p>
    <w:p w14:paraId="23D85B19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 - Central Event Processor Data</w:t>
      </w:r>
    </w:p>
    <w:p w14:paraId="3E2B8B86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MySQL - Transactional Data</w:t>
      </w:r>
    </w:p>
    <w:p w14:paraId="27946B6C" w14:textId="77777777" w:rsidR="007A2594" w:rsidRDefault="00837AF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 Ledger</w:t>
      </w:r>
    </w:p>
    <w:p w14:paraId="03E9DC9D" w14:textId="77777777" w:rsidR="007A2594" w:rsidRDefault="00837AF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Account Lookup</w:t>
      </w:r>
    </w:p>
    <w:p w14:paraId="3DC1265D" w14:textId="77777777" w:rsidR="007A2594" w:rsidRDefault="00837AF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Quoting Service</w:t>
      </w:r>
    </w:p>
    <w:p w14:paraId="35E98185" w14:textId="77777777" w:rsidR="007A2594" w:rsidRDefault="00837AF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 Settlements</w:t>
      </w:r>
    </w:p>
    <w:p w14:paraId="5A1AACF2" w14:textId="77777777" w:rsidR="007A2594" w:rsidRDefault="00837AF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Transactio</w:t>
      </w:r>
      <w:r>
        <w:rPr>
          <w:rFonts w:ascii="Calibri" w:eastAsia="Calibri" w:hAnsi="Calibri" w:cs="Calibri"/>
        </w:rPr>
        <w:t>n Requests</w:t>
      </w:r>
    </w:p>
    <w:p w14:paraId="4C69B3C1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 Event Processor</w:t>
      </w:r>
    </w:p>
    <w:p w14:paraId="0E21C5EA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Kafka - Stream information</w:t>
      </w:r>
    </w:p>
    <w:p w14:paraId="40B24A78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/ Kubernetes volumes</w:t>
      </w:r>
    </w:p>
    <w:p w14:paraId="12DFBABC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EFK for security and application event logging</w:t>
      </w:r>
    </w:p>
    <w:p w14:paraId="2C0B694F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Prometheus / Grafana for application uptime monitoring</w:t>
      </w:r>
    </w:p>
    <w:p w14:paraId="4CD3B937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WSO2 - MySQL Database storing user and API authentication inform</w:t>
      </w:r>
      <w:r>
        <w:rPr>
          <w:rFonts w:ascii="Calibri" w:eastAsia="Calibri" w:hAnsi="Calibri" w:cs="Calibri"/>
        </w:rPr>
        <w:t>ation and secrets management.</w:t>
      </w:r>
    </w:p>
    <w:p w14:paraId="717551B0" w14:textId="77777777" w:rsidR="007A2594" w:rsidRDefault="00837AF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Pathfinder used by Account lookup service.</w:t>
      </w:r>
    </w:p>
    <w:p w14:paraId="3CCBBD8E" w14:textId="77777777" w:rsidR="007A2594" w:rsidRDefault="007A2594"/>
    <w:p w14:paraId="6F33CAB9" w14:textId="31AC5239" w:rsidR="007A2594" w:rsidRDefault="00837A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document assumes </w:t>
      </w:r>
      <w:r>
        <w:rPr>
          <w:rFonts w:ascii="Calibri" w:eastAsia="Calibri" w:hAnsi="Calibri" w:cs="Calibri"/>
        </w:rPr>
        <w:t>community versions of databases;</w:t>
      </w:r>
      <w:r>
        <w:rPr>
          <w:rFonts w:ascii="Calibri" w:eastAsia="Calibri" w:hAnsi="Calibri" w:cs="Calibri"/>
        </w:rPr>
        <w:t xml:space="preserve"> hence recommendations may include some features available only in enterprise versions of the same databases (MySQL, Red</w:t>
      </w:r>
      <w:r>
        <w:rPr>
          <w:rFonts w:ascii="Calibri" w:eastAsia="Calibri" w:hAnsi="Calibri" w:cs="Calibri"/>
        </w:rPr>
        <w:t xml:space="preserve">is, </w:t>
      </w:r>
      <w:proofErr w:type="spellStart"/>
      <w:r>
        <w:rPr>
          <w:rFonts w:ascii="Calibri" w:eastAsia="Calibri" w:hAnsi="Calibri" w:cs="Calibri"/>
        </w:rPr>
        <w:t>Percona</w:t>
      </w:r>
      <w:proofErr w:type="spellEnd"/>
      <w:r>
        <w:rPr>
          <w:rFonts w:ascii="Calibri" w:eastAsia="Calibri" w:hAnsi="Calibri" w:cs="Calibri"/>
        </w:rPr>
        <w:t>).</w:t>
      </w:r>
    </w:p>
    <w:p w14:paraId="30F508C1" w14:textId="77777777" w:rsidR="007A2594" w:rsidRDefault="00837AF0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 xml:space="preserve">Recommended standards for </w:t>
      </w:r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Databases</w:t>
      </w:r>
      <w:proofErr w:type="gramEnd"/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</w:p>
    <w:p w14:paraId="435D9D2B" w14:textId="302B2B79" w:rsidR="007A2594" w:rsidRDefault="00837A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at rest is static data stored on hard drives archived or not</w:t>
      </w:r>
      <w:r>
        <w:rPr>
          <w:rFonts w:ascii="Calibri" w:eastAsia="Calibri" w:hAnsi="Calibri" w:cs="Calibri"/>
        </w:rPr>
        <w:t xml:space="preserve"> accessed or modified.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following protective controls are recommended for Mojaloop data at rest:</w:t>
      </w:r>
    </w:p>
    <w:p w14:paraId="79635847" w14:textId="77777777" w:rsidR="007A2594" w:rsidRDefault="00837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 a data classification exercise to identify types of data at rest within Mojaloop, where they are stored and access controls for each data type.</w:t>
      </w:r>
    </w:p>
    <w:p w14:paraId="733E9DF1" w14:textId="77777777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 control restrictions - Enforce access control restrictions using any of the following:</w:t>
      </w:r>
    </w:p>
    <w:p w14:paraId="443E1405" w14:textId="509800B7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</w:t>
      </w:r>
      <w:r>
        <w:rPr>
          <w:rFonts w:ascii="Calibri" w:eastAsia="Calibri" w:hAnsi="Calibri" w:cs="Calibri"/>
        </w:rPr>
        <w:t xml:space="preserve">tor console for databases. This includes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edis</w:t>
      </w:r>
      <w:proofErr w:type="gramEnd"/>
    </w:p>
    <w:p w14:paraId="1C92EC32" w14:textId="691F2AE5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role-</w:t>
      </w:r>
      <w:r>
        <w:rPr>
          <w:rFonts w:ascii="Calibri" w:eastAsia="Calibri" w:hAnsi="Calibri" w:cs="Calibri"/>
        </w:rPr>
        <w:t>based access for database users,</w:t>
      </w:r>
      <w:r>
        <w:rPr>
          <w:rFonts w:ascii="Calibri" w:eastAsia="Calibri" w:hAnsi="Calibri" w:cs="Calibri"/>
        </w:rPr>
        <w:t xml:space="preserve"> especially application-</w:t>
      </w:r>
      <w:r>
        <w:rPr>
          <w:rFonts w:ascii="Calibri" w:eastAsia="Calibri" w:hAnsi="Calibri" w:cs="Calibri"/>
        </w:rPr>
        <w:t>wide users that are tied to running services.</w:t>
      </w:r>
    </w:p>
    <w:p w14:paraId="4B7BEE9D" w14:textId="62989DB0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Disable R</w:t>
      </w:r>
      <w:r>
        <w:rPr>
          <w:rFonts w:ascii="Calibri" w:eastAsia="Calibri" w:hAnsi="Calibri" w:cs="Calibri"/>
        </w:rPr>
        <w:t xml:space="preserve">edis database API unless explicitly needed to run services for cloud </w:t>
      </w:r>
      <w:proofErr w:type="gramStart"/>
      <w:r>
        <w:rPr>
          <w:rFonts w:ascii="Calibri" w:eastAsia="Calibri" w:hAnsi="Calibri" w:cs="Calibri"/>
        </w:rPr>
        <w:t>deployments</w:t>
      </w:r>
      <w:proofErr w:type="gramEnd"/>
    </w:p>
    <w:p w14:paraId="6C7DDC91" w14:textId="495F4713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</w:rPr>
        <w:t>n you enable the R</w:t>
      </w:r>
      <w:r>
        <w:rPr>
          <w:rFonts w:ascii="Calibri" w:eastAsia="Calibri" w:hAnsi="Calibri" w:cs="Calibri"/>
        </w:rPr>
        <w:t>edis database API, ensure the API keys for all your Redis implementation owners</w:t>
      </w:r>
      <w:r>
        <w:rPr>
          <w:rFonts w:ascii="Calibri" w:eastAsia="Calibri" w:hAnsi="Calibri" w:cs="Calibri"/>
        </w:rPr>
        <w:t xml:space="preserve"> are securely stored and managed. These can be used to configure and administer the database programmatically</w:t>
      </w:r>
      <w:r>
        <w:rPr>
          <w:rFonts w:ascii="Calibri" w:eastAsia="Calibri" w:hAnsi="Calibri" w:cs="Calibri"/>
        </w:rPr>
        <w:t>.</w:t>
      </w:r>
    </w:p>
    <w:p w14:paraId="33839738" w14:textId="31D5E470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MFA (multi-</w:t>
      </w:r>
      <w:r>
        <w:rPr>
          <w:rFonts w:ascii="Calibri" w:eastAsia="Calibri" w:hAnsi="Calibri" w:cs="Calibri"/>
        </w:rPr>
        <w:t>factor authentication) f</w:t>
      </w:r>
      <w:r>
        <w:rPr>
          <w:rFonts w:ascii="Calibri" w:eastAsia="Calibri" w:hAnsi="Calibri" w:cs="Calibri"/>
        </w:rPr>
        <w:t>or database administrator console access.</w:t>
      </w:r>
    </w:p>
    <w:p w14:paraId="5A4D1296" w14:textId="77777777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 IP based restrictions on which source IPs can communicate directly with the databases to post/query </w:t>
      </w:r>
      <w:proofErr w:type="gramStart"/>
      <w:r>
        <w:rPr>
          <w:rFonts w:ascii="Calibri" w:eastAsia="Calibri" w:hAnsi="Calibri" w:cs="Calibri"/>
        </w:rPr>
        <w:t>data</w:t>
      </w:r>
      <w:proofErr w:type="gramEnd"/>
    </w:p>
    <w:p w14:paraId="59CEFD20" w14:textId="454BAE82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TLS encryption on connections for all services transmitting sensitive data to/</w:t>
      </w:r>
      <w:r>
        <w:rPr>
          <w:rFonts w:ascii="Calibri" w:eastAsia="Calibri" w:hAnsi="Calibri" w:cs="Calibri"/>
        </w:rPr>
        <w:t>from the dat</w:t>
      </w:r>
      <w:r>
        <w:rPr>
          <w:rFonts w:ascii="Calibri" w:eastAsia="Calibri" w:hAnsi="Calibri" w:cs="Calibri"/>
        </w:rPr>
        <w:t>abase. This may impact performance but useful in implementations where PII data needs to be protected,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e.g.</w:t>
      </w:r>
      <w:proofErr w:type="gramEnd"/>
      <w:r>
        <w:rPr>
          <w:rFonts w:ascii="Calibri" w:eastAsia="Calibri" w:hAnsi="Calibri" w:cs="Calibri"/>
        </w:rPr>
        <w:t xml:space="preserve"> GDPR.</w:t>
      </w:r>
    </w:p>
    <w:p w14:paraId="74D19F65" w14:textId="5A25F5AD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entitlement reports that can be used to review and grant/revoke access to the database. If the entitlement needs management approval thr</w:t>
      </w:r>
      <w:r>
        <w:rPr>
          <w:rFonts w:ascii="Calibri" w:eastAsia="Calibri" w:hAnsi="Calibri" w:cs="Calibri"/>
        </w:rPr>
        <w:t xml:space="preserve">ough a ticketing system, </w:t>
      </w:r>
      <w:r>
        <w:rPr>
          <w:rFonts w:ascii="Calibri" w:eastAsia="Calibri" w:hAnsi="Calibri" w:cs="Calibri"/>
        </w:rPr>
        <w:lastRenderedPageBreak/>
        <w:t xml:space="preserve">adding, suspending, </w:t>
      </w:r>
      <w:proofErr w:type="gramStart"/>
      <w:r>
        <w:rPr>
          <w:rFonts w:ascii="Calibri" w:eastAsia="Calibri" w:hAnsi="Calibri" w:cs="Calibri"/>
        </w:rPr>
        <w:t>deleting</w:t>
      </w:r>
      <w:proofErr w:type="gramEnd"/>
      <w:r>
        <w:rPr>
          <w:rFonts w:ascii="Calibri" w:eastAsia="Calibri" w:hAnsi="Calibri" w:cs="Calibri"/>
        </w:rPr>
        <w:t xml:space="preserve"> or modifying entry</w:t>
      </w:r>
      <w:r>
        <w:rPr>
          <w:rFonts w:ascii="Calibri" w:eastAsia="Calibri" w:hAnsi="Calibri" w:cs="Calibri"/>
        </w:rPr>
        <w:t xml:space="preserve"> should show up in the entitlement report. The compliance department can validate the requests and approval for each entitlement added, </w:t>
      </w:r>
      <w:proofErr w:type="gramStart"/>
      <w:r>
        <w:rPr>
          <w:rFonts w:ascii="Calibri" w:eastAsia="Calibri" w:hAnsi="Calibri" w:cs="Calibri"/>
        </w:rPr>
        <w:t>revoked</w:t>
      </w:r>
      <w:proofErr w:type="gramEnd"/>
      <w:r>
        <w:rPr>
          <w:rFonts w:ascii="Calibri" w:eastAsia="Calibri" w:hAnsi="Calibri" w:cs="Calibri"/>
        </w:rPr>
        <w:t xml:space="preserve"> or modified.</w:t>
      </w:r>
    </w:p>
    <w:p w14:paraId="28DCDFAD" w14:textId="55D61400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Exploring PII data encryption</w:t>
      </w:r>
      <w:r>
        <w:rPr>
          <w:rFonts w:ascii="Calibri" w:eastAsia="Calibri" w:hAnsi="Calibri" w:cs="Calibri"/>
        </w:rPr>
        <w:t xml:space="preserve"> to render it unreadable and unusable outside Mojaloop environment should a database export/dump be executed. Options here include data encryption at rest and full database encryption.</w:t>
      </w:r>
    </w:p>
    <w:p w14:paraId="3C7DBE99" w14:textId="70FE2390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replication and auto-</w:t>
      </w:r>
      <w:r>
        <w:rPr>
          <w:rFonts w:ascii="Calibri" w:eastAsia="Calibri" w:hAnsi="Calibri" w:cs="Calibri"/>
        </w:rPr>
        <w:t>failover recovery options in the e</w:t>
      </w:r>
      <w:r>
        <w:rPr>
          <w:rFonts w:ascii="Calibri" w:eastAsia="Calibri" w:hAnsi="Calibri" w:cs="Calibri"/>
        </w:rPr>
        <w:t>vent of database failure. These should be supported by appropriate</w:t>
      </w:r>
      <w:r>
        <w:rPr>
          <w:rFonts w:ascii="Calibri" w:eastAsia="Calibri" w:hAnsi="Calibri" w:cs="Calibri"/>
        </w:rPr>
        <w:t xml:space="preserve"> backups to maintain point in time data.</w:t>
      </w:r>
    </w:p>
    <w:p w14:paraId="3F05C9C0" w14:textId="77777777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audit logging for all CRUD actions on sensitive data and where applicable ship logs to a SIEM for monitoring.</w:t>
      </w:r>
    </w:p>
    <w:p w14:paraId="5C19A03E" w14:textId="0A3FF8C7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Harness supporting databases'</w:t>
      </w:r>
      <w:r>
        <w:rPr>
          <w:rFonts w:ascii="Calibri" w:eastAsia="Calibri" w:hAnsi="Calibri" w:cs="Calibri"/>
        </w:rPr>
        <w:t xml:space="preserve"> publi</w:t>
      </w:r>
      <w:r>
        <w:rPr>
          <w:rFonts w:ascii="Calibri" w:eastAsia="Calibri" w:hAnsi="Calibri" w:cs="Calibri"/>
        </w:rPr>
        <w:t>sher/subscriber (Pub/Sub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t xml:space="preserve"> or Message Broker ability can help build</w:t>
      </w:r>
      <w:r>
        <w:rPr>
          <w:rFonts w:ascii="Calibri" w:eastAsia="Calibri" w:hAnsi="Calibri" w:cs="Calibri"/>
        </w:rPr>
        <w:t xml:space="preserve"> the foundation of microservices architecture. It helps in decoupling the services and makes their communication more effective. Redis supports this design.</w:t>
      </w:r>
    </w:p>
    <w:p w14:paraId="5E254E07" w14:textId="0246BE29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database with </w:t>
      </w:r>
      <w:r>
        <w:rPr>
          <w:rFonts w:ascii="Calibri" w:eastAsia="Calibri" w:hAnsi="Calibri" w:cs="Calibri"/>
        </w:rPr>
        <w:t>least privileges. This decreases the potential damage that an attacker can cause if the session is hijacked,</w:t>
      </w:r>
      <w:r>
        <w:rPr>
          <w:rFonts w:ascii="Calibri" w:eastAsia="Calibri" w:hAnsi="Calibri" w:cs="Calibri"/>
        </w:rPr>
        <w:t xml:space="preserve"> and the attacker gains access to system-</w:t>
      </w:r>
      <w:r>
        <w:rPr>
          <w:rFonts w:ascii="Calibri" w:eastAsia="Calibri" w:hAnsi="Calibri" w:cs="Calibri"/>
        </w:rPr>
        <w:t>wide administrative rights.</w:t>
      </w:r>
    </w:p>
    <w:p w14:paraId="582F44C6" w14:textId="77777777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database code submitted by developers for any malicious code. Ensure deve</w:t>
      </w:r>
      <w:r>
        <w:rPr>
          <w:rFonts w:ascii="Calibri" w:eastAsia="Calibri" w:hAnsi="Calibri" w:cs="Calibri"/>
        </w:rPr>
        <w:t xml:space="preserve">lopers are familiar with SQL injection prevention guidelines such as these: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https://cheatsheetseries.owasp.org/cheatsheets/SQL_Injection_Prevention_</w:t>
        </w:r>
        <w:r>
          <w:rPr>
            <w:rFonts w:ascii="Calibri" w:eastAsia="Calibri" w:hAnsi="Calibri" w:cs="Calibri"/>
            <w:color w:val="1155CC"/>
            <w:u w:val="single"/>
          </w:rPr>
          <w:t>Cheat_Sheet.html</w:t>
        </w:r>
      </w:hyperlink>
      <w:r>
        <w:rPr>
          <w:rFonts w:ascii="Calibri" w:eastAsia="Calibri" w:hAnsi="Calibri" w:cs="Calibri"/>
        </w:rPr>
        <w:t xml:space="preserve"> </w:t>
      </w:r>
    </w:p>
    <w:p w14:paraId="286E3ECA" w14:textId="77777777" w:rsidR="007A2594" w:rsidRDefault="00837AF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 database hardening activities:</w:t>
      </w:r>
    </w:p>
    <w:p w14:paraId="286BA393" w14:textId="11DC6D8A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 default credentials and authentication arte</w:t>
      </w:r>
      <w:r>
        <w:rPr>
          <w:rFonts w:ascii="Calibri" w:eastAsia="Calibri" w:hAnsi="Calibri" w:cs="Calibri"/>
        </w:rPr>
        <w:t>facts,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e.g.</w:t>
      </w:r>
      <w:proofErr w:type="gramEnd"/>
      <w:r>
        <w:rPr>
          <w:rFonts w:ascii="Calibri" w:eastAsia="Calibri" w:hAnsi="Calibri" w:cs="Calibri"/>
        </w:rPr>
        <w:t xml:space="preserve"> test database.</w:t>
      </w:r>
    </w:p>
    <w:p w14:paraId="446F1039" w14:textId="77777777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 appropriate file system permissions for critical database </w:t>
      </w:r>
      <w:proofErr w:type="gramStart"/>
      <w:r>
        <w:rPr>
          <w:rFonts w:ascii="Calibri" w:eastAsia="Calibri" w:hAnsi="Calibri" w:cs="Calibri"/>
        </w:rPr>
        <w:t>files</w:t>
      </w:r>
      <w:proofErr w:type="gramEnd"/>
    </w:p>
    <w:p w14:paraId="73CE4208" w14:textId="77777777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passwords are not stored in global configu</w:t>
      </w:r>
      <w:r>
        <w:rPr>
          <w:rFonts w:ascii="Calibri" w:eastAsia="Calibri" w:hAnsi="Calibri" w:cs="Calibri"/>
        </w:rPr>
        <w:t xml:space="preserve">ration </w:t>
      </w:r>
      <w:proofErr w:type="gramStart"/>
      <w:r>
        <w:rPr>
          <w:rFonts w:ascii="Calibri" w:eastAsia="Calibri" w:hAnsi="Calibri" w:cs="Calibri"/>
        </w:rPr>
        <w:t>files</w:t>
      </w:r>
      <w:proofErr w:type="gramEnd"/>
    </w:p>
    <w:p w14:paraId="4AC81941" w14:textId="77777777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Ensure local authentication bypass is not enabled for any database </w:t>
      </w:r>
      <w:proofErr w:type="gramStart"/>
      <w:r>
        <w:rPr>
          <w:rFonts w:ascii="Calibri" w:eastAsia="Calibri" w:hAnsi="Calibri" w:cs="Calibri"/>
        </w:rPr>
        <w:t>instance</w:t>
      </w:r>
      <w:proofErr w:type="gramEnd"/>
    </w:p>
    <w:p w14:paraId="797D9F43" w14:textId="0276D5DB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Disable server-</w:t>
      </w:r>
      <w:r>
        <w:rPr>
          <w:rFonts w:ascii="Calibri" w:eastAsia="Calibri" w:hAnsi="Calibri" w:cs="Calibri"/>
        </w:rPr>
        <w:t xml:space="preserve">side </w:t>
      </w:r>
      <w:proofErr w:type="gramStart"/>
      <w:r>
        <w:rPr>
          <w:rFonts w:ascii="Calibri" w:eastAsia="Calibri" w:hAnsi="Calibri" w:cs="Calibri"/>
        </w:rPr>
        <w:t>scripting</w:t>
      </w:r>
      <w:proofErr w:type="gramEnd"/>
    </w:p>
    <w:p w14:paraId="6353C692" w14:textId="77777777" w:rsidR="007A2594" w:rsidRDefault="00837AF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relevant patches for the databases as per change management </w:t>
      </w:r>
      <w:proofErr w:type="gramStart"/>
      <w:r>
        <w:rPr>
          <w:rFonts w:ascii="Calibri" w:eastAsia="Calibri" w:hAnsi="Calibri" w:cs="Calibri"/>
        </w:rPr>
        <w:t>procedures</w:t>
      </w:r>
      <w:proofErr w:type="gramEnd"/>
    </w:p>
    <w:p w14:paraId="1FF5CB59" w14:textId="77777777" w:rsidR="007A2594" w:rsidRDefault="00837AF0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 xml:space="preserve">Recommended Auditable events and audit record content </w:t>
      </w:r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standard</w:t>
      </w:r>
      <w:proofErr w:type="gramEnd"/>
    </w:p>
    <w:p w14:paraId="3386D5EC" w14:textId="509EE78F" w:rsidR="007A2594" w:rsidRDefault="00837A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or audit logs to be useful, they must record sufficient information to serve the operational needs, pres</w:t>
      </w:r>
      <w:r>
        <w:rPr>
          <w:rFonts w:ascii="Calibri" w:eastAsia="Calibri" w:hAnsi="Calibri" w:cs="Calibri"/>
        </w:rPr>
        <w:t xml:space="preserve">erve accountability, and detect malicious activity. This standard defines these events and content recommended to be captured in a Mojaloop implementation. </w:t>
      </w:r>
    </w:p>
    <w:p w14:paraId="56C9883D" w14:textId="77777777" w:rsidR="007A2594" w:rsidRDefault="00837A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systems should produce audit logs for the following key event types, depending on system c</w:t>
      </w:r>
      <w:r>
        <w:rPr>
          <w:rFonts w:ascii="Calibri" w:eastAsia="Calibri" w:hAnsi="Calibri" w:cs="Calibri"/>
        </w:rPr>
        <w:t>apabilities:</w:t>
      </w:r>
    </w:p>
    <w:p w14:paraId="0C7C6D45" w14:textId="7B26284C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and logoff events,</w:t>
      </w:r>
      <w:r>
        <w:rPr>
          <w:rFonts w:ascii="Calibri" w:eastAsia="Calibri" w:hAnsi="Calibri" w:cs="Calibri"/>
        </w:rPr>
        <w:t xml:space="preserve"> including unsuccessful logons.</w:t>
      </w:r>
    </w:p>
    <w:p w14:paraId="1C78B321" w14:textId="01E4D32A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Modification of authentication mechanisms and security policies on a database, logging, configuration settings,</w:t>
      </w:r>
      <w:r>
        <w:rPr>
          <w:rFonts w:ascii="Calibri" w:eastAsia="Calibri" w:hAnsi="Calibri" w:cs="Calibri"/>
        </w:rPr>
        <w:t xml:space="preserve"> especially activities that reduce security levels and access controls.</w:t>
      </w:r>
    </w:p>
    <w:p w14:paraId="5D7CC244" w14:textId="2E6FD3D1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</w:t>
      </w:r>
      <w:r>
        <w:rPr>
          <w:rFonts w:ascii="Calibri" w:eastAsia="Calibri" w:hAnsi="Calibri" w:cs="Calibri"/>
        </w:rPr>
        <w:t xml:space="preserve">anagement activities such as create user, modify user, delete user, create the </w:t>
      </w:r>
      <w:r>
        <w:rPr>
          <w:rFonts w:ascii="Calibri" w:eastAsia="Calibri" w:hAnsi="Calibri" w:cs="Calibri"/>
        </w:rPr>
        <w:t xml:space="preserve">role, modify a </w:t>
      </w:r>
      <w:r>
        <w:rPr>
          <w:rFonts w:ascii="Calibri" w:eastAsia="Calibri" w:hAnsi="Calibri" w:cs="Calibri"/>
        </w:rPr>
        <w:t xml:space="preserve">role, delete a </w:t>
      </w:r>
      <w:r>
        <w:rPr>
          <w:rFonts w:ascii="Calibri" w:eastAsia="Calibri" w:hAnsi="Calibri" w:cs="Calibri"/>
        </w:rPr>
        <w:t xml:space="preserve">role, assign a </w:t>
      </w:r>
      <w:r>
        <w:rPr>
          <w:rFonts w:ascii="Calibri" w:eastAsia="Calibri" w:hAnsi="Calibri" w:cs="Calibri"/>
        </w:rPr>
        <w:t xml:space="preserve">role, grant/revoke roles or </w:t>
      </w:r>
      <w:proofErr w:type="gramStart"/>
      <w:r>
        <w:rPr>
          <w:rFonts w:ascii="Calibri" w:eastAsia="Calibri" w:hAnsi="Calibri" w:cs="Calibri"/>
        </w:rPr>
        <w:t>privileges</w:t>
      </w:r>
      <w:proofErr w:type="gramEnd"/>
    </w:p>
    <w:p w14:paraId="16359D45" w14:textId="77777777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Queries related to users and associated authentication policy.</w:t>
      </w:r>
    </w:p>
    <w:p w14:paraId="21DF2F7E" w14:textId="77777777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Privileged commands</w:t>
      </w:r>
    </w:p>
    <w:p w14:paraId="0A2DBCEF" w14:textId="77777777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 ownership changes</w:t>
      </w:r>
    </w:p>
    <w:p w14:paraId="17B5CD3B" w14:textId="0DF52528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 to sensitive data (this needs the organization to have already classified its data), including failed acces</w:t>
      </w:r>
      <w:r>
        <w:rPr>
          <w:rFonts w:ascii="Calibri" w:eastAsia="Calibri" w:hAnsi="Calibri" w:cs="Calibri"/>
        </w:rPr>
        <w:t>s.</w:t>
      </w:r>
    </w:p>
    <w:p w14:paraId="348F10F3" w14:textId="77777777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Changes to the database schema (DDL (Data Definition Language) commands)</w:t>
      </w:r>
    </w:p>
    <w:p w14:paraId="6F89FCD0" w14:textId="77777777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backup and restore </w:t>
      </w:r>
      <w:proofErr w:type="gramStart"/>
      <w:r>
        <w:rPr>
          <w:rFonts w:ascii="Calibri" w:eastAsia="Calibri" w:hAnsi="Calibri" w:cs="Calibri"/>
        </w:rPr>
        <w:t>operations</w:t>
      </w:r>
      <w:proofErr w:type="gramEnd"/>
    </w:p>
    <w:p w14:paraId="1BB49CCB" w14:textId="7294CAD7" w:rsidR="007A2594" w:rsidRDefault="00837AF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Attempts to access Operating system commands and functions from the database (execute commands, read/</w:t>
      </w:r>
      <w:r>
        <w:rPr>
          <w:rFonts w:ascii="Calibri" w:eastAsia="Calibri" w:hAnsi="Calibri" w:cs="Calibri"/>
        </w:rPr>
        <w:t xml:space="preserve">modify </w:t>
      </w:r>
      <w:proofErr w:type="gramStart"/>
      <w:r>
        <w:rPr>
          <w:rFonts w:ascii="Calibri" w:eastAsia="Calibri" w:hAnsi="Calibri" w:cs="Calibri"/>
        </w:rPr>
        <w:t>files</w:t>
      </w:r>
      <w:proofErr w:type="gramEnd"/>
      <w:r>
        <w:rPr>
          <w:rFonts w:ascii="Calibri" w:eastAsia="Calibri" w:hAnsi="Calibri" w:cs="Calibri"/>
        </w:rPr>
        <w:t xml:space="preserve"> and settings)</w:t>
      </w:r>
    </w:p>
    <w:p w14:paraId="7AEFDA81" w14:textId="77777777" w:rsidR="007A2594" w:rsidRDefault="007A2594">
      <w:pPr>
        <w:spacing w:after="160" w:line="259" w:lineRule="auto"/>
        <w:rPr>
          <w:rFonts w:ascii="Calibri" w:eastAsia="Calibri" w:hAnsi="Calibri" w:cs="Calibri"/>
        </w:rPr>
      </w:pPr>
    </w:p>
    <w:p w14:paraId="5E9E80FF" w14:textId="77777777" w:rsidR="007A2594" w:rsidRDefault="00837A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Monitoring use cases</w:t>
      </w:r>
    </w:p>
    <w:p w14:paraId="01C7937A" w14:textId="77777777" w:rsidR="007A2594" w:rsidRDefault="00837A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the audit logs captured, below are some monitoring use cases that could be configured to ensure vi</w:t>
      </w:r>
      <w:r>
        <w:rPr>
          <w:rFonts w:ascii="Calibri" w:eastAsia="Calibri" w:hAnsi="Calibri" w:cs="Calibri"/>
        </w:rPr>
        <w:t>sibility into security events within databases:</w:t>
      </w:r>
    </w:p>
    <w:p w14:paraId="607164D1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account additions and changes should be reconciled against an </w:t>
      </w:r>
      <w:proofErr w:type="gramStart"/>
      <w:r>
        <w:rPr>
          <w:rFonts w:ascii="Calibri" w:eastAsia="Calibri" w:hAnsi="Calibri" w:cs="Calibri"/>
        </w:rPr>
        <w:t>account</w:t>
      </w:r>
      <w:proofErr w:type="gramEnd"/>
    </w:p>
    <w:p w14:paraId="79359A4A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and approval log</w:t>
      </w:r>
    </w:p>
    <w:p w14:paraId="186CFD19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Significant instances of failed password attempts and against multiple accounts</w:t>
      </w:r>
    </w:p>
    <w:p w14:paraId="2836776F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within a short </w:t>
      </w:r>
      <w:proofErr w:type="gramStart"/>
      <w:r>
        <w:rPr>
          <w:rFonts w:ascii="Calibri" w:eastAsia="Calibri" w:hAnsi="Calibri" w:cs="Calibri"/>
        </w:rPr>
        <w:t>time</w:t>
      </w:r>
      <w:proofErr w:type="gramEnd"/>
      <w:r>
        <w:rPr>
          <w:rFonts w:ascii="Calibri" w:eastAsia="Calibri" w:hAnsi="Calibri" w:cs="Calibri"/>
        </w:rPr>
        <w:t xml:space="preserve"> frame wh</w:t>
      </w:r>
      <w:r>
        <w:rPr>
          <w:rFonts w:ascii="Calibri" w:eastAsia="Calibri" w:hAnsi="Calibri" w:cs="Calibri"/>
        </w:rPr>
        <w:t>ich may indicate hacking attempts</w:t>
      </w:r>
    </w:p>
    <w:p w14:paraId="4C909E83" w14:textId="626E1196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Notable</w:t>
      </w:r>
      <w:r>
        <w:rPr>
          <w:rFonts w:ascii="Calibri" w:eastAsia="Calibri" w:hAnsi="Calibri" w:cs="Calibri"/>
        </w:rPr>
        <w:t xml:space="preserve"> exampl</w:t>
      </w:r>
      <w:r>
        <w:rPr>
          <w:rFonts w:ascii="Calibri" w:eastAsia="Calibri" w:hAnsi="Calibri" w:cs="Calibri"/>
        </w:rPr>
        <w:t>es of failed access attempts to the database not authorized to</w:t>
      </w:r>
    </w:p>
    <w:p w14:paraId="631DE27A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account </w:t>
      </w:r>
      <w:proofErr w:type="gramStart"/>
      <w:r>
        <w:rPr>
          <w:rFonts w:ascii="Calibri" w:eastAsia="Calibri" w:hAnsi="Calibri" w:cs="Calibri"/>
        </w:rPr>
        <w:t>ID</w:t>
      </w:r>
      <w:proofErr w:type="gramEnd"/>
    </w:p>
    <w:p w14:paraId="0C8648D3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Attempts to SELECT the list of users and </w:t>
      </w:r>
      <w:proofErr w:type="gramStart"/>
      <w:r>
        <w:rPr>
          <w:rFonts w:ascii="Calibri" w:eastAsia="Calibri" w:hAnsi="Calibri" w:cs="Calibri"/>
        </w:rPr>
        <w:t>passwords</w:t>
      </w:r>
      <w:proofErr w:type="gramEnd"/>
    </w:p>
    <w:p w14:paraId="16A48CB7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direct access to the database from accounts which should be limited to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access</w:t>
      </w:r>
      <w:proofErr w:type="gramEnd"/>
    </w:p>
    <w:p w14:paraId="41B6F596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through an application</w:t>
      </w:r>
    </w:p>
    <w:p w14:paraId="22F862AC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of nonstandard tools (</w:t>
      </w:r>
      <w:proofErr w:type="gramStart"/>
      <w:r>
        <w:rPr>
          <w:rFonts w:ascii="Calibri" w:eastAsia="Calibri" w:hAnsi="Calibri" w:cs="Calibri"/>
        </w:rPr>
        <w:t>E.g.</w:t>
      </w:r>
      <w:proofErr w:type="gramEnd"/>
      <w:r>
        <w:rPr>
          <w:rFonts w:ascii="Calibri" w:eastAsia="Calibri" w:hAnsi="Calibri" w:cs="Calibri"/>
        </w:rPr>
        <w:t xml:space="preserve"> Excel, Access) to directly access DBMS</w:t>
      </w:r>
    </w:p>
    <w:p w14:paraId="2DEE1888" w14:textId="7014836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of any "</w:t>
      </w:r>
      <w:r>
        <w:rPr>
          <w:rFonts w:ascii="Calibri" w:eastAsia="Calibri" w:hAnsi="Calibri" w:cs="Calibri"/>
        </w:rPr>
        <w:t>utility programs"</w:t>
      </w: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E.g.</w:t>
      </w:r>
      <w:proofErr w:type="gramEnd"/>
      <w:r>
        <w:rPr>
          <w:rFonts w:ascii="Calibri" w:eastAsia="Calibri" w:hAnsi="Calibri" w:cs="Calibri"/>
        </w:rPr>
        <w:t xml:space="preserve"> Toad) to now</w:t>
      </w:r>
      <w:r>
        <w:rPr>
          <w:rFonts w:ascii="Calibri" w:eastAsia="Calibri" w:hAnsi="Calibri" w:cs="Calibri"/>
        </w:rPr>
        <w:t xml:space="preserve"> access DBMS</w:t>
      </w:r>
    </w:p>
    <w:p w14:paraId="222FEE27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of the Application ID (</w:t>
      </w:r>
      <w:proofErr w:type="spellStart"/>
      <w:r>
        <w:rPr>
          <w:rFonts w:ascii="Calibri" w:eastAsia="Calibri" w:hAnsi="Calibri" w:cs="Calibri"/>
        </w:rPr>
        <w:t>ApplID</w:t>
      </w:r>
      <w:proofErr w:type="spellEnd"/>
      <w:r>
        <w:rPr>
          <w:rFonts w:ascii="Calibri" w:eastAsia="Calibri" w:hAnsi="Calibri" w:cs="Calibri"/>
        </w:rPr>
        <w:t xml:space="preserve">) from a source other than the defined </w:t>
      </w:r>
      <w:proofErr w:type="gramStart"/>
      <w:r>
        <w:rPr>
          <w:rFonts w:ascii="Calibri" w:eastAsia="Calibri" w:hAnsi="Calibri" w:cs="Calibri"/>
        </w:rPr>
        <w:t>owner</w:t>
      </w:r>
      <w:proofErr w:type="gramEnd"/>
    </w:p>
    <w:p w14:paraId="23D0125B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location (based on hostname or IP address)</w:t>
      </w:r>
    </w:p>
    <w:p w14:paraId="005CEBC7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 failures, manual logging shut down and attempts to </w:t>
      </w:r>
      <w:proofErr w:type="gramStart"/>
      <w:r>
        <w:rPr>
          <w:rFonts w:ascii="Calibri" w:eastAsia="Calibri" w:hAnsi="Calibri" w:cs="Calibri"/>
        </w:rPr>
        <w:t>purge</w:t>
      </w:r>
      <w:proofErr w:type="gramEnd"/>
    </w:p>
    <w:p w14:paraId="07CDE60C" w14:textId="77777777" w:rsidR="007A2594" w:rsidRDefault="00837AF0">
      <w:pPr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Attempts to access OS functionality via the </w:t>
      </w:r>
      <w:proofErr w:type="gramStart"/>
      <w:r>
        <w:rPr>
          <w:rFonts w:ascii="Calibri" w:eastAsia="Calibri" w:hAnsi="Calibri" w:cs="Calibri"/>
        </w:rPr>
        <w:t>database</w:t>
      </w:r>
      <w:proofErr w:type="gramEnd"/>
    </w:p>
    <w:p w14:paraId="00FF090C" w14:textId="77777777" w:rsidR="007A2594" w:rsidRDefault="00837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Known att</w:t>
      </w:r>
      <w:r>
        <w:rPr>
          <w:rFonts w:ascii="Calibri" w:eastAsia="Calibri" w:hAnsi="Calibri" w:cs="Calibri"/>
        </w:rPr>
        <w:t>ack profiles, such as Buffer overflow, Denial of Service, SQL injection</w:t>
      </w:r>
    </w:p>
    <w:p w14:paraId="530AB311" w14:textId="77777777" w:rsidR="007A2594" w:rsidRDefault="00837AF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14:paraId="5C847A15" w14:textId="77777777" w:rsidR="007A2594" w:rsidRDefault="00837AF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Next Steps</w:t>
      </w:r>
    </w:p>
    <w:p w14:paraId="614C4D0C" w14:textId="77777777" w:rsidR="007A2594" w:rsidRDefault="00837AF0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Conduct threat model </w:t>
      </w:r>
      <w:proofErr w:type="gramStart"/>
      <w:r>
        <w:rPr>
          <w:rFonts w:ascii="Calibri" w:eastAsia="Calibri" w:hAnsi="Calibri" w:cs="Calibri"/>
        </w:rPr>
        <w:t>assessment  for</w:t>
      </w:r>
      <w:proofErr w:type="gramEnd"/>
      <w:r>
        <w:rPr>
          <w:rFonts w:ascii="Calibri" w:eastAsia="Calibri" w:hAnsi="Calibri" w:cs="Calibri"/>
        </w:rPr>
        <w:t xml:space="preserve"> Mojaloop databases</w:t>
      </w:r>
    </w:p>
    <w:p w14:paraId="4734A1E5" w14:textId="77777777" w:rsidR="007A2594" w:rsidRDefault="00837AF0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Conduct security awareness for Mojaloop developers on database standards, threats and </w:t>
      </w:r>
      <w:proofErr w:type="gramStart"/>
      <w:r>
        <w:rPr>
          <w:rFonts w:ascii="Calibri" w:eastAsia="Calibri" w:hAnsi="Calibri" w:cs="Calibri"/>
        </w:rPr>
        <w:t>controls</w:t>
      </w:r>
      <w:proofErr w:type="gramEnd"/>
    </w:p>
    <w:p w14:paraId="4933B48B" w14:textId="77777777" w:rsidR="007A2594" w:rsidRDefault="00837AF0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security be</w:t>
      </w:r>
      <w:r>
        <w:rPr>
          <w:rFonts w:ascii="Calibri" w:eastAsia="Calibri" w:hAnsi="Calibri" w:cs="Calibri"/>
        </w:rPr>
        <w:t xml:space="preserve">nchmarking tools that can be used to test security configurations for Mojaloop </w:t>
      </w:r>
      <w:proofErr w:type="gramStart"/>
      <w:r>
        <w:rPr>
          <w:rFonts w:ascii="Calibri" w:eastAsia="Calibri" w:hAnsi="Calibri" w:cs="Calibri"/>
        </w:rPr>
        <w:t>databases</w:t>
      </w:r>
      <w:proofErr w:type="gramEnd"/>
    </w:p>
    <w:p w14:paraId="5FA216FB" w14:textId="77777777" w:rsidR="007A2594" w:rsidRDefault="00837AF0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 security assessment of existing baseline Mojaloop database configurations and make recommendations as guided by this standard:</w:t>
      </w:r>
    </w:p>
    <w:p w14:paraId="685876E5" w14:textId="50311857" w:rsidR="007A2594" w:rsidRDefault="00837AF0">
      <w:pPr>
        <w:numPr>
          <w:ilvl w:val="1"/>
          <w:numId w:val="5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vulnerabilities,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e.g.</w:t>
      </w:r>
      <w:proofErr w:type="gramEnd"/>
      <w:r>
        <w:rPr>
          <w:rFonts w:ascii="Calibri" w:eastAsia="Calibri" w:hAnsi="Calibri" w:cs="Calibri"/>
        </w:rPr>
        <w:t xml:space="preserve"> patch levels, SQL</w:t>
      </w:r>
      <w:r>
        <w:rPr>
          <w:rFonts w:ascii="Calibri" w:eastAsia="Calibri" w:hAnsi="Calibri" w:cs="Calibri"/>
        </w:rPr>
        <w:t xml:space="preserve"> injection, backup and recovery</w:t>
      </w:r>
    </w:p>
    <w:p w14:paraId="24D6159F" w14:textId="77777777" w:rsidR="007A2594" w:rsidRDefault="00837AF0">
      <w:pPr>
        <w:numPr>
          <w:ilvl w:val="1"/>
          <w:numId w:val="5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Establish audit logging levels </w:t>
      </w:r>
      <w:proofErr w:type="gramStart"/>
      <w:r>
        <w:rPr>
          <w:rFonts w:ascii="Calibri" w:eastAsia="Calibri" w:hAnsi="Calibri" w:cs="Calibri"/>
        </w:rPr>
        <w:t>configured</w:t>
      </w:r>
      <w:proofErr w:type="gramEnd"/>
    </w:p>
    <w:p w14:paraId="440833DA" w14:textId="77777777" w:rsidR="007A2594" w:rsidRDefault="00837AF0">
      <w:pPr>
        <w:numPr>
          <w:ilvl w:val="0"/>
          <w:numId w:val="5"/>
        </w:num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basic security monitoring dashboards for database activity in Mojaloop using existing infrastructure controls (EFK).</w:t>
      </w:r>
    </w:p>
    <w:p w14:paraId="09BA09CA" w14:textId="77777777" w:rsidR="007A2594" w:rsidRDefault="00837AF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</w:rPr>
      </w:pPr>
      <w:r>
        <w:br w:type="page"/>
      </w:r>
    </w:p>
    <w:p w14:paraId="41164AD2" w14:textId="77777777" w:rsidR="007A2594" w:rsidRDefault="00837AF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Appendix</w:t>
      </w:r>
    </w:p>
    <w:p w14:paraId="0F413C39" w14:textId="77777777" w:rsidR="007A2594" w:rsidRDefault="00837AF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STRIDE Model and Controls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3720"/>
        <w:gridCol w:w="3120"/>
      </w:tblGrid>
      <w:tr w:rsidR="007A2594" w14:paraId="4904007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19B1" w14:textId="77777777" w:rsidR="007A2594" w:rsidRDefault="00837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83FB" w14:textId="77777777" w:rsidR="007A2594" w:rsidRDefault="00837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E24" w14:textId="77777777" w:rsidR="007A2594" w:rsidRDefault="00837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Security Controls</w:t>
            </w:r>
          </w:p>
        </w:tc>
      </w:tr>
      <w:tr w:rsidR="007A2594" w14:paraId="643685AB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C474" w14:textId="77777777" w:rsidR="007A2594" w:rsidRDefault="00837AF0">
            <w:pPr>
              <w:widowControl w:val="0"/>
              <w:spacing w:line="240" w:lineRule="auto"/>
            </w:pPr>
            <w:r>
              <w:t>Spoofing (S)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7872" w14:textId="77777777" w:rsidR="007A2594" w:rsidRDefault="00837AF0">
            <w:pPr>
              <w:widowControl w:val="0"/>
              <w:spacing w:line="240" w:lineRule="auto"/>
            </w:pPr>
            <w:r>
              <w:t>Threat action aimed to illegally access and use another user's credentials, such as username and password.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933D" w14:textId="5621359A" w:rsidR="007A2594" w:rsidRDefault="00837AF0">
            <w:pPr>
              <w:widowControl w:val="0"/>
              <w:spacing w:line="240" w:lineRule="auto"/>
            </w:pPr>
            <w:r>
              <w:t>Strong authentication,</w:t>
            </w:r>
            <w: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passwords, MFA, digital signatures</w:t>
            </w:r>
          </w:p>
        </w:tc>
      </w:tr>
      <w:tr w:rsidR="007A2594" w14:paraId="409AE0C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CA5D" w14:textId="77777777" w:rsidR="007A2594" w:rsidRDefault="00837AF0">
            <w:pPr>
              <w:widowControl w:val="0"/>
              <w:spacing w:line="240" w:lineRule="auto"/>
            </w:pPr>
            <w:r>
              <w:t>Tampering (T)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1213" w14:textId="6FBABA8A" w:rsidR="007A2594" w:rsidRDefault="00837AF0">
            <w:pPr>
              <w:widowControl w:val="0"/>
              <w:spacing w:line="240" w:lineRule="auto"/>
            </w:pPr>
            <w:r>
              <w:t>Threat action aimed to maliciously change/modify persistent data, such a</w:t>
            </w:r>
            <w:r>
              <w:t>s continuous</w:t>
            </w:r>
            <w:r>
              <w:t xml:space="preserve"> data in a database, and alter</w:t>
            </w:r>
            <w:r>
              <w:t xml:space="preserve"> data in transit between two computers over an open network, such as the Internet.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36E6" w14:textId="69932AFA" w:rsidR="007A2594" w:rsidRDefault="00837AF0">
            <w:pPr>
              <w:widowControl w:val="0"/>
              <w:spacing w:line="240" w:lineRule="auto"/>
            </w:pPr>
            <w:r>
              <w:t>Integrity controls,</w:t>
            </w:r>
            <w: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digital signatures, permissions (ACLs)</w:t>
            </w:r>
          </w:p>
        </w:tc>
      </w:tr>
      <w:tr w:rsidR="007A2594" w14:paraId="2A5ACAC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4096" w14:textId="77777777" w:rsidR="007A2594" w:rsidRDefault="00837AF0">
            <w:pPr>
              <w:widowControl w:val="0"/>
              <w:spacing w:line="240" w:lineRule="auto"/>
            </w:pPr>
            <w:r>
              <w:t>Repudiation (R)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6B80" w14:textId="5ABD6B4C" w:rsidR="007A2594" w:rsidRDefault="00837AF0">
            <w:pPr>
              <w:widowControl w:val="0"/>
              <w:spacing w:line="240" w:lineRule="auto"/>
            </w:pPr>
            <w:r>
              <w:t xml:space="preserve">Threat action aimed to perform illegal </w:t>
            </w:r>
            <w:r>
              <w:t>operations in a system that cannot</w:t>
            </w:r>
            <w:r>
              <w:t xml:space="preserve"> trace the prohibited operations.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B909" w14:textId="77777777" w:rsidR="007A2594" w:rsidRDefault="00837AF0">
            <w:pPr>
              <w:widowControl w:val="0"/>
              <w:spacing w:line="240" w:lineRule="auto"/>
            </w:pPr>
            <w:r>
              <w:t>Secure logging and auditing</w:t>
            </w:r>
          </w:p>
          <w:p w14:paraId="3FBF5633" w14:textId="77777777" w:rsidR="007A2594" w:rsidRDefault="00837AF0">
            <w:pPr>
              <w:widowControl w:val="0"/>
              <w:spacing w:line="240" w:lineRule="auto"/>
            </w:pPr>
            <w:r>
              <w:t>Digital signatures</w:t>
            </w:r>
          </w:p>
        </w:tc>
      </w:tr>
      <w:tr w:rsidR="007A2594" w14:paraId="3996502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1AFD" w14:textId="77777777" w:rsidR="007A2594" w:rsidRDefault="00837AF0">
            <w:pPr>
              <w:widowControl w:val="0"/>
              <w:spacing w:line="240" w:lineRule="auto"/>
            </w:pPr>
            <w:r>
              <w:t>Information disclosure (I)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43B0" w14:textId="7BB74B26" w:rsidR="007A2594" w:rsidRDefault="00837AF0">
            <w:pPr>
              <w:widowControl w:val="0"/>
              <w:spacing w:line="240" w:lineRule="auto"/>
            </w:pPr>
            <w:r>
              <w:t>Threat action to read a file that one was not granted access to or</w:t>
            </w:r>
            <w:r>
              <w:t xml:space="preserve"> read data in transit.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8072" w14:textId="77777777" w:rsidR="007A2594" w:rsidRDefault="00837AF0">
            <w:pPr>
              <w:widowControl w:val="0"/>
              <w:spacing w:line="240" w:lineRule="auto"/>
            </w:pPr>
            <w:r>
              <w:t>Confid</w:t>
            </w:r>
            <w:r>
              <w:t xml:space="preserve">entiality controls </w:t>
            </w:r>
            <w:proofErr w:type="gramStart"/>
            <w:r>
              <w:t>e.g.</w:t>
            </w:r>
            <w:proofErr w:type="gramEnd"/>
            <w:r>
              <w:t xml:space="preserve"> permissions (ACLs), encryption</w:t>
            </w:r>
          </w:p>
        </w:tc>
      </w:tr>
      <w:tr w:rsidR="007A2594" w14:paraId="0CCB27A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F7F4" w14:textId="77777777" w:rsidR="007A2594" w:rsidRDefault="00837AF0">
            <w:pPr>
              <w:widowControl w:val="0"/>
              <w:spacing w:line="240" w:lineRule="auto"/>
            </w:pPr>
            <w:r>
              <w:t>Denial of service (D)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3B49" w14:textId="41CADF06" w:rsidR="007A2594" w:rsidRDefault="00837AF0">
            <w:pPr>
              <w:widowControl w:val="0"/>
              <w:spacing w:line="240" w:lineRule="auto"/>
            </w:pPr>
            <w:r>
              <w:t>Threat aimed to deny access to valid users</w:t>
            </w:r>
            <w:r>
              <w:t xml:space="preserve"> by making a web server temporarily unavailable or unusable.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BB8" w14:textId="1EDACA84" w:rsidR="007A2594" w:rsidRDefault="00837AF0">
            <w:pPr>
              <w:widowControl w:val="0"/>
              <w:spacing w:line="240" w:lineRule="auto"/>
            </w:pPr>
            <w:r>
              <w:t>Resilience and business continuity,</w:t>
            </w:r>
            <w: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permissions (ACLs), Quotas, Filtering</w:t>
            </w:r>
          </w:p>
        </w:tc>
      </w:tr>
      <w:tr w:rsidR="007A2594" w14:paraId="21860E3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3A01" w14:textId="77777777" w:rsidR="007A2594" w:rsidRDefault="00837AF0">
            <w:pPr>
              <w:widowControl w:val="0"/>
              <w:spacing w:line="240" w:lineRule="auto"/>
            </w:pPr>
            <w:r>
              <w:t>Elevation of privilege (E)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357F" w14:textId="3ECEB9DE" w:rsidR="007A2594" w:rsidRDefault="00837AF0">
            <w:pPr>
              <w:widowControl w:val="0"/>
              <w:spacing w:line="240" w:lineRule="auto"/>
            </w:pPr>
            <w:r>
              <w:t>Threat aimed to gain privileged access</w:t>
            </w:r>
            <w:r>
              <w:t xml:space="preserve"> to resources to gain unauthorized access to information or</w:t>
            </w:r>
            <w:r>
              <w:t xml:space="preserve"> compromise a system.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09A6" w14:textId="4411B545" w:rsidR="007A2594" w:rsidRDefault="00837AF0">
            <w:pPr>
              <w:widowControl w:val="0"/>
              <w:spacing w:line="240" w:lineRule="auto"/>
            </w:pPr>
            <w:r>
              <w:t>Authoriz</w:t>
            </w:r>
            <w:r>
              <w:t xml:space="preserve">ation controls </w:t>
            </w:r>
            <w:proofErr w:type="gramStart"/>
            <w:r>
              <w:t>e.g.</w:t>
            </w:r>
            <w:proofErr w:type="gramEnd"/>
            <w:r>
              <w:t xml:space="preserve"> permissions (ACLs), input validation</w:t>
            </w:r>
          </w:p>
        </w:tc>
      </w:tr>
    </w:tbl>
    <w:p w14:paraId="2EDBC61F" w14:textId="77777777" w:rsidR="007A2594" w:rsidRDefault="007A2594">
      <w:pPr>
        <w:spacing w:before="60" w:after="140"/>
        <w:rPr>
          <w:rFonts w:ascii="Calibri" w:eastAsia="Calibri" w:hAnsi="Calibri" w:cs="Calibri"/>
          <w:color w:val="2E75B5"/>
          <w:sz w:val="32"/>
          <w:szCs w:val="32"/>
        </w:rPr>
      </w:pPr>
    </w:p>
    <w:p w14:paraId="404C55F3" w14:textId="77777777" w:rsidR="007A2594" w:rsidRDefault="007A2594">
      <w:pPr>
        <w:spacing w:after="160" w:line="259" w:lineRule="auto"/>
      </w:pPr>
    </w:p>
    <w:sectPr w:rsidR="007A25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AE1"/>
    <w:multiLevelType w:val="multilevel"/>
    <w:tmpl w:val="A0FC6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6E1167"/>
    <w:multiLevelType w:val="multilevel"/>
    <w:tmpl w:val="79760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503785"/>
    <w:multiLevelType w:val="multilevel"/>
    <w:tmpl w:val="6BEE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CB3046"/>
    <w:multiLevelType w:val="multilevel"/>
    <w:tmpl w:val="3C10C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D6708"/>
    <w:multiLevelType w:val="multilevel"/>
    <w:tmpl w:val="E23A7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CC3519"/>
    <w:multiLevelType w:val="multilevel"/>
    <w:tmpl w:val="58D8D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A00F00"/>
    <w:multiLevelType w:val="multilevel"/>
    <w:tmpl w:val="36B66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tjS2NDUzN7UEcpV0lIJTi4sz8/NACgxrAaoPlIgsAAAA"/>
  </w:docVars>
  <w:rsids>
    <w:rsidRoot w:val="007A2594"/>
    <w:rsid w:val="003117E0"/>
    <w:rsid w:val="007A2594"/>
    <w:rsid w:val="008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A9814"/>
  <w15:docId w15:val="{8CD6A206-0F62-4638-9BD6-71FD573E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eatsheetseries.owasp.org/cheatsheets/SQL_Injection_Prevention_Cheat_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Hlashila Kutumela</dc:creator>
  <cp:lastModifiedBy>Hlashila Kutumela</cp:lastModifiedBy>
  <cp:revision>2</cp:revision>
  <dcterms:created xsi:type="dcterms:W3CDTF">2021-01-11T11:58:00Z</dcterms:created>
  <dcterms:modified xsi:type="dcterms:W3CDTF">2021-01-11T11:58:00Z</dcterms:modified>
</cp:coreProperties>
</file>