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At central parameters heat pumps beat hydrogen on 2050 heat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market recovers peaker capital; rents cover about 9 per cent of the annual charge</w:t>
      </w:r>
    </w:p>
    <w:p>
      <w:pPr>
        <w:spacing w:line="480" w:lineRule="auto"/>
        <w:jc w:val="left"/>
      </w:pPr>
      <w:r>
        <w:rPr>
          <w:rFonts w:ascii="Times New Roman" w:hAnsi="Times New Roman"/>
          <w:b w:val="0"/>
          <w:i w:val="0"/>
          <w:sz w:val="24"/>
        </w:rPr>
        <w:t>• At €600/kW a technology-neutral capacity payment procures gas, not hydrogen</w:t>
      </w:r>
    </w:p>
    <w:p>
      <w:pPr>
        <w:spacing w:line="480" w:lineRule="auto"/>
        <w:jc w:val="left"/>
      </w:pPr>
      <w:r>
        <w:rPr>
          <w:rFonts w:ascii="Times New Roman" w:hAnsi="Times New Roman"/>
          <w:b w:val="0"/>
          <w:i w:val="0"/>
          <w:sz w:val="24"/>
        </w:rPr>
        <w:t>• Ambition spans 2050 heating emissions from 10 to 352 MtCO₂, from 644 in 2025</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Continental models report hydrogen's role in building heat at national resolution, whereas building-stock assessments fix its share exogenously. Neither gives a peaker's standalone capital-recovery position by market. We bound that share from the winter-peak dispatch, test each scenario's setting against it across district heat and power, and charge each carrier its last mile on levelised cost, in a bottom-up model of 29 markets over 200 Monte Carlo draws per scenario. Four findings follow. On 2050 base-load levelised cost the best heat pump delivers €118.5/MWh against €122.8 for a hydrogen boiler and €132.7 for gas, beating hydrogen in 22 of 29 markets on the pro-rata firm-capacity basis and 19 then 17 on cost causation. That count is the least robust result, spanning 13 to 29 across the hydrogen price paths, and two assumptions favour hydrogen, taxed retail electricity near €209/MWh against €50/MWh delivered, and a green price where blue costs €81/MWh. On short-run marginal cost, on the high carbon path and the equal-efficiency series, hydrogen wins the winter power peak in a different seven, all salt-cavern markets. No market recovers that peaker's capital from energy-only rents, about 9 per cent of its annualised charge capacity-weighted, so at €600/kW a technology-neutral payment procures gas and selecting hydrogen needs an emissions-conditioned payment, about €172/tCO₂ of displaced gas generation, above the carbon price gas already pays. 2050 residential-heating emissions span 10 to 352 MtCO₂ from 644. The power-sector results rest on one constructed weather year and are a screening exercise, not an adequacy assessment.</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(COP)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Against those strands, this paper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First, where other work imposes a hydrogen share and stops, we impose transparent adoption pathways and then test them against an independent dispatch screen, market by market, exposing the cost and geology regimes a continental average would bury. Second, we recast the question from an energy-share contest into one about capacity and capital, screening the linked tests on one dispatch basis and testing capital recovery on the plant that wins the power peak. To deliver both we assemble a bottom-up techno-economic model of residential heating across the EU-27, the United Kingdom and Switzerland from 2025 to 2050. It reconstructs useful heat demand from NUTS3 building stock and aggregates it to the country before any cost test, benchmarking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 and propagates that demand through eight technologies and four scenarios in a 200-draw Monte Carlo.</w:t>
      </w:r>
    </w:p>
    <w:p>
      <w:pPr>
        <w:pStyle w:val="BodyText"/>
      </w:pPr>
      <w:r>
        <w:rPr>
          <w:rFonts w:ascii="Times New Roman" w:hAnsi="Times New Roman"/>
          <w:sz w:val="24"/>
        </w:rPr>
        <w:t xml:space="preserve">On the 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Published comparisons differ in which of these they charge, so we sweep each. Adopting them narrows the heat pump’s margin without reversing the median ordering. However, 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Cheap storage widens those margins without selecting them, since five of the seven still hold when repriced at the non-cavern rate</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Repriced on the short-run marginal cost (SRMC) a system operator</w:t>
      </w:r>
      <w:r>
        <w:rPr>
          <w:rFonts w:ascii="Times New Roman" w:hAnsi="Times New Roman"/>
          <w:sz w:val="24"/>
        </w:rPr>
        <w:t xml:space="preserve"> </w:t>
      </w:r>
      <w:r>
        <w:rPr>
          <w:rFonts w:ascii="Times New Roman" w:hAnsi="Times New Roman"/>
          <w:sz w:val="24"/>
        </w:rPr>
        <w:t xml:space="preserve">uses, hydrogen wins the cold-snap peak in a minority of markets that grows with policy ambition. However, no market recovers that peaker’s capital, about 9 per cent in the central case, the classic missing-money problem.</w:t>
      </w:r>
    </w:p>
    <w:p>
      <w:pPr>
        <w:pStyle w:val="BodyText"/>
      </w:pPr>
      <w:r>
        <w:rPr>
          <w:rFonts w:ascii="Times New Roman" w:hAnsi="Times New Roman"/>
          <w:sz w:val="24"/>
        </w:rPr>
        <w:t xml:space="preserve">These findings answer one research question: under what conditions, and where, is</w:t>
      </w:r>
      <w:r>
        <w:rPr>
          <w:rFonts w:ascii="Times New Roman" w:hAnsi="Times New Roman"/>
          <w:sz w:val="24"/>
        </w:rPr>
        <w:t xml:space="preserve"> </w:t>
      </w:r>
      <w:r>
        <w:rPr>
          <w:rFonts w:ascii="Times New Roman" w:hAnsi="Times New Roman"/>
          <w:sz w:val="24"/>
        </w:rPr>
        <w:t xml:space="preserve">decarbonised hydrogen competitive against heat-pump electrification in the buildings of the</w:t>
      </w:r>
      <w:r>
        <w:rPr>
          <w:rFonts w:ascii="Times New Roman" w:hAnsi="Times New Roman"/>
          <w:sz w:val="24"/>
        </w:rPr>
        <w:t xml:space="preserve"> </w:t>
      </w:r>
      <w:r>
        <w:rPr>
          <w:rFonts w:ascii="Times New Roman" w:hAnsi="Times New Roman"/>
          <w:sz w:val="24"/>
        </w:rPr>
        <w:t xml:space="preserve">EU-27, the United Kingdom and Switzerland by 2050?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[39], [40]</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a technology that fails an earlier test is not rescued by a later one. The first two tests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[41]</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[42], [43]</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 by NUTS3 region, 2025.</w:t>
      </w:r>
      <w:r>
        <w:rPr>
          <w:rFonts w:ascii="Times New Roman" w:hAnsi="Times New Roman"/>
          <w:sz w:val="24"/>
        </w:rPr>
        <w:t xml:space="preserve"> </w:t>
      </w:r>
      <w:r>
        <w:rPr>
          <w:rFonts w:ascii="Times New Roman" w:hAnsi="Times New Roman"/>
          <w:sz w:val="24"/>
        </w:rPr>
        <w:t xml:space="preserve">From the bottom-up build.</w:t>
      </w:r>
    </w:p>
    <w:bookmarkEnd w:id="18"/>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colour scale is logarithmic over 0.3 to 12 TWh/yr, close to the 2nd and 98th percentiles of the mapped values, and the colourbar arrowheads mark the regions outside that range.</w:t>
      </w:r>
    </w:p>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 peak heat demand and annualised over the heat that capacity delivers, on the reasoning that a household buys a boiler for its coldest day rather than its average one, so efficiency changes the fuel bill and not the purchase price. Annualising over rated capacity instead would divide that charge a second time by each technology’s own efficiency, which is why this is the accounting 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[46], [47]</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[49]</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[50], [51]</w:t>
      </w:r>
      <w:r>
        <w:rPr>
          <w:rFonts w:ascii="Times New Roman" w:hAnsi="Times New Roman"/>
          <w:sz w:val="24"/>
        </w:rPr>
        <w:t xml:space="preserve">.</w:t>
      </w:r>
    </w:p>
    <w:p>
      <w:pPr>
        <w:pStyle w:val="BodyText"/>
      </w:pPr>
      <w:r>
        <w:rPr>
          <w:rFonts w:ascii="Times New Roman" w:hAnsi="Times New Roman"/>
          <w:sz w:val="24"/>
        </w:rPr>
        <w:t xml:space="preserve">A scope-1 inventory runs alongside the cost layer on the same technology split, charging</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[52]</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[53], [54]</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 coverage-weighted blend of conversion and new build at a median €13.4/MWh, and the heat pump a low- and medium-voltage reinforcement adder at a median €4.9/MWh, leaving the hydrogen route roughly 2.7 times the delivery charge of the electric one before any fuel cost enters.</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SRMCs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 caverns and €100 without, the two ends spanning the cavern and above-ground rates reported in the bulk-storage literature</w:t>
      </w:r>
      <w:r>
        <w:rPr>
          <w:rFonts w:ascii="Times New Roman" w:hAnsi="Times New Roman"/>
          <w:sz w:val="24"/>
        </w:rPr>
        <w:t xml:space="preserve"> </w:t>
      </w:r>
      <w:r>
        <w:rPr>
          <w:rFonts w:ascii="Times New Roman" w:hAnsi="Times New Roman"/>
          <w:sz w:val="24"/>
        </w:rPr>
        <w:t xml:space="preserve">[55], [56]</w:t>
      </w:r>
      <w:r>
        <w:rPr>
          <w:rFonts w:ascii="Times New Roman" w:hAnsi="Times New Roman"/>
          <w:sz w:val="24"/>
        </w:rPr>
        <w:t xml:space="preserve"> </w:t>
      </w:r>
      <w:r>
        <w:rPr>
          <w:rFonts w:ascii="Times New Roman" w:hAnsi="Times New Roman"/>
          <w:sz w:val="24"/>
        </w:rPr>
        <w:t xml:space="preserve">and applied at the higher rate to the markets with no salt resource</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Cold-snap heat-pump COP is derated from the 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SRMC,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 summarises the six exogenous levers each scenario sets, which separate them most sharply on renovation and on fossil retreat. Current Policies renovates at 0.70 times the announced-policy rate and still leaves 40 per cent of 2050 heat on fossil fuels, whereas Net Zero renovates at 2.73 times that rate and leaves 5 per cent. H2 Push is the hydrogen-favourable world rather than the most ambitious one, pairing a high carbon price and the rapid hydrogen-price path with a 1.64 times renovation rate and a 15 per cent fossil share. Hydrogen adoption is set at 0, 5, 3 and 8 per cent, so its ordering does not follow climate ambition. That setting is exogenous, and the dispatch screen tests it rather than sets it. Set against the dispatch-supported potential in the final row, which runs 0, 0.6, 7.5 and 9.0 per cent, only Stated Policies places adoption above what the screen supports, a gap Section 3.3 reports as a finding.</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Six exogenous levers per scenario, with</w:t>
      </w:r>
      <w:r>
        <w:rPr>
          <w:rFonts w:ascii="Times New Roman" w:hAnsi="Times New Roman"/>
          <w:sz w:val="24"/>
        </w:rPr>
        <w:t xml:space="preserve"> </w:t>
      </w:r>
      <w:r>
        <w:rPr>
          <w:rFonts w:ascii="Times New Roman" w:hAnsi="Times New Roman"/>
          <w:sz w:val="24"/>
        </w:rPr>
        <w:t xml:space="preserve">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independently, not a lever</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weather-series-for-the-power-layer"/>
    <w:p>
      <w:pPr/>
      <w:r>
        <w:rPr>
          <w:rFonts w:ascii="Times New Roman" w:hAnsi="Times New Roman"/>
          <w:b/>
          <w:sz w:val="24"/>
        </w:rPr>
        <w:t xml:space="preserve">Weather series for the power layer</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fuel and hydrogen prices, equipment costs and</w:t>
      </w:r>
      <w:r>
        <w:rPr>
          <w:rFonts w:ascii="Times New Roman" w:hAnsi="Times New Roman"/>
          <w:sz w:val="24"/>
        </w:rPr>
        <w:t xml:space="preserve"> </w:t>
      </w:r>
      <w:r>
        <w:rPr>
          <w:rFonts w:ascii="Times New Roman" w:hAnsi="Times New Roman"/>
          <w:sz w:val="24"/>
        </w:rPr>
        <w:t xml:space="preserve">heat-pump performance under a cross-country shock correlation of 0.5 on renovation and 0.75 on fuel prices, set higher on prices because European gas and electricity markets clear against shared hubs whereas renovation policy is delivered nationally, and reported at the 10th, 50th and 90th percentiles. A Sobol screen ranks the four</w:t>
      </w:r>
      <w:r>
        <w:rPr>
          <w:rFonts w:ascii="Times New Roman" w:hAnsi="Times New Roman"/>
          <w:sz w:val="24"/>
        </w:rPr>
        <w:t xml:space="preserve"> </w:t>
      </w:r>
      <w:r>
        <w:rPr>
          <w:rFonts w:ascii="Times New Roman" w:hAnsi="Times New Roman"/>
          <w:sz w:val="24"/>
        </w:rPr>
        <w:t xml:space="preserve">demand drivers, and rank-regression coefficients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 technology that fails an</w:t>
      </w:r>
      <w:r>
        <w:rPr>
          <w:rFonts w:ascii="Times New Roman" w:hAnsi="Times New Roman"/>
          <w:sz w:val="24"/>
        </w:rPr>
        <w:t xml:space="preserve"> </w:t>
      </w:r>
      <w:r>
        <w:rPr>
          <w:rFonts w:ascii="Times New Roman" w:hAnsi="Times New Roman"/>
          <w:sz w:val="24"/>
        </w:rPr>
        <w:t xml:space="preserve">earlier one is not rescued by a later one.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presents useful residential heat demand across the NUTS3 regions of the study area at 2025. Useful-heat demand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However,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per cent, root-mean-square</w:t>
      </w:r>
      <w:r>
        <w:rPr>
          <w:rFonts w:ascii="Times New Roman" w:hAnsi="Times New Roman"/>
          <w:sz w:val="24"/>
        </w:rPr>
        <w:t xml:space="preserve"> </w:t>
      </w:r>
      <w:r>
        <w:t xml:space="preserve">14.4</w:t>
      </w:r>
      <w:r>
        <w:rPr>
          <w:rFonts w:ascii="Times New Roman" w:hAnsi="Times New Roman"/>
          <w:sz w:val="24"/>
        </w:rPr>
        <w:t xml:space="preserve"> per cent and median</w:t>
      </w:r>
      <w:r>
        <w:rPr>
          <w:rFonts w:ascii="Times New Roman" w:hAnsi="Times New Roman"/>
          <w:sz w:val="24"/>
        </w:rPr>
        <w:t xml:space="preserve"> </w:t>
      </w:r>
      <w:r>
        <w:t xml:space="preserve">8.5</w:t>
      </w:r>
      <w:r>
        <w:rPr>
          <w:rFonts w:ascii="Times New Roman" w:hAnsi="Times New Roman"/>
          <w:sz w:val="24"/>
        </w:rPr>
        <w:t xml:space="preserve"> per cent. In addition,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That layer sets the demand field and the weights every later statistic carries, and everything after it runs on country parameters, so no cost ordering is resolved beneath it.</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representative concentration pathway,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 the dispatch screen tests rather than sets, and it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 it, whereas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United Kingdom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whereas emissions fan out from the same 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to roughly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under Current Policies, Stated Policies, Net Zero and H2 Push respectively.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levelised cost of heat by component for 2030 and 2050, at the study median for each technology and year. 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against existing-fleet seasonal COPs of 2.8 to 4.1</w:t>
      </w:r>
      <w:r>
        <w:rPr>
          <w:rFonts w:ascii="Times New Roman" w:hAnsi="Times New Roman"/>
          <w:sz w:val="24"/>
        </w:rPr>
        <w:t xml:space="preserve"> </w:t>
      </w:r>
      <w:r>
        <w:rPr>
          <w:rFonts w:ascii="Times New Roman" w:hAnsi="Times New Roman"/>
          <w:sz w:val="24"/>
        </w:rPr>
        <w:t xml:space="preserve">[59]</w:t>
      </w:r>
      <w:r>
        <w:rPr>
          <w:rFonts w:ascii="Times New Roman" w:hAnsi="Times New Roman"/>
          <w:sz w:val="24"/>
        </w:rPr>
        <w:t xml:space="preserve">, and behind it the best heat pump per country already undercuts gas in 16 of the 29.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 matches in direction the European household comparison of the ICCT</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 which is built on a different accounting.</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whereas the 2025 demand-weighted mean is only</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those Papadias et al. and Talukdar et al. report for bulk storage</w:t>
      </w:r>
      <w:r>
        <w:rPr>
          <w:rFonts w:ascii="Times New Roman" w:hAnsi="Times New Roman"/>
          <w:sz w:val="24"/>
        </w:rPr>
        <w:t xml:space="preserve"> </w:t>
      </w:r>
      <w:r>
        <w:rPr>
          <w:rFonts w:ascii="Times New Roman" w:hAnsi="Times New Roman"/>
          <w:sz w:val="24"/>
        </w:rPr>
        <w:t xml:space="preserve">[55], [56],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COP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share of electricity demand, a gap driven by the collapse in COP at the cold-snap peak.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 therefore robust to how dear electricity distribution proves, whereas it is fragile to whether 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 presents the 2050 power merit order in Denmark under H2 Push, and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 the markets in which hydrogen undercuts the gas peaker. The levelised-cost test prices hydrogen as a base-load supplier, whereas its advocates cast it as a peaker serving only the cold-snap tip, when the air-source COP collapses. We therefore reprice it on SRMC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 sector’s merit order, averaging €215 to 307/MWh, a level driven by the high carbon price on 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 sector under H2 Push; on the asymmetric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the existing power and industry system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 a gas combined-heat-and-power plant is marginal on a cold day in 20 of the 29 networks, capping the arena at 20, and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By contrast, pricing gas at the Eurostat residential retail tariff and charging hydrogen no last-mile network raises the building-peak count from 14 to 16 and the district-heat count from 7 to 20.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puts the symmetric counts at 0, 0.6, 7.5 and 9.0 per cent of study-area residential heat under the four scenarios respectively, the bound three of the four ceilings sit at or below, compared with 0, 5.1, 7.9 and 9.3 on the asymmetric accounting.</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€30/MWh-e above the carbon-priced gas peaker at €256/MWh-e, so gas remains the cheaper firm unit in the typical market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By contrast, on the evolving-efficiency series the medians close to €238 against €239/MWh-e and the undercut count rises to 15, or 8 without the backbone 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deplete over a multi-day event, so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[38]</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the peaking win covers only about 9 per cent of the plant’s annualised capital charge, because it runs about 139 hours a year.</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recovers its annualised capital charge even where its operating cost wins the cold snap. That shortfall, rather than its size, is the robust 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None reaches the 100 per cent private finance requires,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 dispatches the fleet at 160 full-load hours on 2.8 GW more capacity, compared with the 139 hours quoted throughout, because ramp and minimum-output limits push residual load onto the peakers. However, the extra hours earn more rent, so the cross-check cuts 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asymmetric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its rent covers at most 40.0 per cent of its annualised capital charge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leaving the difficulty as one of paying for the capacity.</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asymmetric accounting,</w:t>
      </w:r>
      <w:r>
        <w:rPr>
          <w:rFonts w:ascii="Times New Roman" w:hAnsi="Times New Roman"/>
          <w:sz w:val="24"/>
        </w:rPr>
        <w:t xml:space="preserve"> </w:t>
      </w:r>
      <w:r>
        <w:rPr>
          <w:rFonts w:ascii="Times New Roman" w:hAnsi="Times New Roman"/>
          <w:sz w:val="24"/>
        </w:rPr>
        <w:t xml:space="preserve">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 550 gCO</w:t>
      </w:r>
      <w:r>
        <w:rPr>
          <w:vertAlign w:val="subscript"/>
        </w:rPr>
        <w:t xml:space="preserve">2</w:t>
      </w:r>
      <w:r>
        <w:rPr>
          <w:rFonts w:ascii="Times New Roman" w:hAnsi="Times New Roman"/>
          <w:sz w:val="24"/>
        </w:rPr>
        <w:t xml:space="preserve">/kWh-e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a technology-neutral payment at the</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we assume would</w:t>
      </w:r>
      <w:r>
        <w:rPr>
          <w:rFonts w:ascii="Times New Roman" w:hAnsi="Times New Roman"/>
          <w:sz w:val="24"/>
        </w:rPr>
        <w:t xml:space="preserve"> </w:t>
      </w:r>
      <w:r>
        <w:rPr>
          <w:rFonts w:ascii="Times New Roman" w:hAnsi="Times New Roman"/>
          <w:sz w:val="24"/>
        </w:rPr>
        <w:t xml:space="preserve">procure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opens only where a standing payment of €31 to 63/kW-yr is in place. Fuel prices and tax incidence leave it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national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The discounted present-value system cost varies by only 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so ambition is cheap in this program.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 presents the Swiss levelised cost of heat for 2025 and 2050 under Stated Policies, on the uncoupled arm. Switzerland puts the two comparisons side by side more sharply than any other market, 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 hydrogen boiler.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asymmetric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 Switzerland has no salt caverns and so pays the higher seasonal storage rate.</w:t>
      </w:r>
    </w:p>
    <w:bookmarkEnd w:id="47"/>
    <w:p>
      <w:pPr>
        <w:pStyle w:val="BodyText"/>
      </w:pPr>
      <w:r>
        <w:rPr>
          <w:rFonts w:ascii="Times New Roman" w:hAnsi="Times New Roman"/>
          <w:sz w:val="24"/>
        </w:rPr>
        <w:t xml:space="preserve">A win in one arena does not carry to another, so the three tests together establish the scope of hydrogen’s role rather than a single verdict. The base-load market count is the least robust of the three, ranging from 13 to 29 markets across the hydrogen price paths sampled. That sensitivity turns in part on a fiscal asymmetry that policy could remove. The capital-recovery result is the most robust, resting on the arithmetic of a 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shortfall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 hydrogen as a system operator does. The three tests point the same way about hydrogen’s scope, though all three price it through one storage parameter, €1.5/kg with salt caverns and €3.0/kg without, so the agreement is less independent than three tests would suggest. Holding it common is what makes the three comparable.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 count behind them runs from 13 to 29 across the hydrogen price paths sampled, and Dickel</w:t>
      </w:r>
      <w:r>
        <w:rPr>
          <w:rFonts w:ascii="Times New Roman" w:hAnsi="Times New Roman"/>
          <w:sz w:val="24"/>
        </w:rPr>
        <w:t xml:space="preserve"> </w:t>
      </w: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concludes that the hydrogen realistically supplied to heat would be blue, at about €81/MWh on the route priced here</w:t>
      </w:r>
      <w:r>
        <w:rPr>
          <w:rFonts w:ascii="Times New Roman" w:hAnsi="Times New Roman"/>
          <w:sz w:val="24"/>
        </w:rPr>
        <w:t xml:space="preserve"> </w:t>
      </w:r>
      <w:r>
        <w:rPr>
          <w:rFonts w:ascii="Times New Roman" w:hAnsi="Times New Roman"/>
          <w:sz w:val="24"/>
        </w:rPr>
        <w:t xml:space="preserve">[61]</w:t>
      </w:r>
      <w:r>
        <w:rPr>
          <w:rFonts w:ascii="Times New Roman" w:hAnsi="Times New Roman"/>
          <w:sz w:val="24"/>
        </w:rPr>
        <w:t xml:space="preserve">, which closes all seven. Levelling the carriers’ fiscal treatment would move the comparison the same way, by an amount beyond the scope of this study.</w:t>
      </w:r>
    </w:p>
    <w:p>
      <w:pPr>
        <w:pStyle w:val="BodyText"/>
      </w:pPr>
      <w:r>
        <w:rPr>
          <w:rFonts w:ascii="Times New Roman" w:hAnsi="Times New Roman"/>
          <w:sz w:val="24"/>
        </w:rPr>
        <w:t xml:space="preserve">(3) Repriced on SRMC,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 markets on a binary geology screen, and alternative definitions give six or nine, so the count is a screening result.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w:t>
      </w:r>
    </w:p>
    <w:p>
      <w:pPr>
        <w:pStyle w:val="BodyText"/>
      </w:pPr>
      <w:r>
        <w:rPr>
          <w:rFonts w:ascii="Times New Roman" w:hAnsi="Times New Roman"/>
          <w:sz w:val="24"/>
        </w:rPr>
        <w:t xml:space="preserve">(4) Policy ambition sets the emissions outcome, the four scenarios reaching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from a 2025 baseline of about 644 MtCO</w:t>
      </w:r>
      <w:r>
        <w:rPr>
          <w:vertAlign w:val="subscript"/>
        </w:rPr>
        <w:t xml:space="preserve">2</w:t>
      </w:r>
      <w:r>
        <w:rPr>
          <w:rFonts w:ascii="Times New Roman" w:hAnsi="Times New Roman"/>
          <w:sz w:val="24"/>
        </w:rPr>
        <w:t xml:space="preserve">, a spread the fossil-phaseout lever leads. The heat-pump share climbs from 29 to 49 per cent across the four, district heat reaches 31 per cent at about €96.5/MWh in the deep pathway, and the dispatch screen supports hydrogen at 0, 0.6, 7.5 and 9.0 per cent of useful heat.</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w:t>
      </w:r>
    </w:p>
    <w:p>
      <w:pPr>
        <w:pStyle w:val="BodyText"/>
      </w:pPr>
      <w:r>
        <w:rPr>
          <w:rFonts w:ascii="Times New Roman" w:hAnsi="Times New Roman"/>
          <w:sz w:val="24"/>
        </w:rPr>
        <w:t xml:space="preserve">(3) Where a hydrogen peaker is wanted, no private investor is made whole and a technology-neutral mechanism procures unabated gas at the capex assumed here, so a payment conditioned on emissions is what selects hydrogen. Those figures allow a capacity-mechanism designer to evaluate what an emissions condition buys against a technology-neutral auction at the same capital cost.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on top of the carbon</w:t>
      </w:r>
      <w:r>
        <w:rPr>
          <w:rFonts w:ascii="Times New Roman" w:hAnsi="Times New Roman"/>
          <w:sz w:val="24"/>
        </w:rPr>
        <w:t xml:space="preserve"> </w:t>
      </w:r>
      <w:r>
        <w:rPr>
          <w:rFonts w:ascii="Times New Roman" w:hAnsi="Times New Roman"/>
          <w:sz w:val="24"/>
        </w:rPr>
        <w:t xml:space="preserve">price the gas plant already pays. The technology-neutral</w:t>
      </w:r>
      <w:r>
        <w:rPr>
          <w:rFonts w:ascii="Times New Roman" w:hAnsi="Times New Roman"/>
          <w:sz w:val="24"/>
        </w:rPr>
        <w:t xml:space="preserve"> </w:t>
      </w:r>
      <w:r>
        <w:rPr>
          <w:rFonts w:ascii="Times New Roman" w:hAnsi="Times New Roman"/>
          <w:sz w:val="24"/>
        </w:rPr>
        <w:t xml:space="preserve">outcome reverses only where hydrogen-ready</w:t>
      </w:r>
      <w:r>
        <w:rPr>
          <w:rFonts w:ascii="Times New Roman" w:hAnsi="Times New Roman"/>
          <w:sz w:val="24"/>
        </w:rPr>
        <w:t xml:space="preserve"> </w:t>
      </w:r>
      <w:r>
        <w:rPr>
          <w:rFonts w:ascii="Times New Roman" w:hAnsi="Times New Roman"/>
          <w:sz w:val="24"/>
        </w:rPr>
        <w:t xml:space="preserve">machines carry a premium below about 18 per cent over the gas turbine.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need a complementary instrument.</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 more recorded weather years and derive the correlation from data, as Kittel</w:t>
      </w:r>
      <w:r>
        <w:rPr>
          <w:rFonts w:ascii="Times New Roman" w:hAnsi="Times New Roman"/>
          <w:sz w:val="24"/>
        </w:rPr>
        <w:t xml:space="preserve"> </w:t>
      </w: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does for European renewable droughts</w:t>
      </w:r>
      <w:r>
        <w:rPr>
          <w:rFonts w:ascii="Times New Roman" w:hAnsi="Times New Roman"/>
          <w:sz w:val="24"/>
        </w:rPr>
        <w:t xml:space="preserve"> </w:t>
      </w:r>
      <w:r>
        <w:rPr>
          <w:rFonts w:ascii="Times New Roman" w:hAnsi="Times New Roman"/>
          <w:sz w:val="24"/>
        </w:rPr>
        <w:t xml:space="preserve">[69], [70]</w:t>
      </w:r>
      <w:r>
        <w:rPr>
          <w:rFonts w:ascii="Times New Roman" w:hAnsi="Times New Roman"/>
          <w:sz w:val="24"/>
        </w:rPr>
        <w:t xml:space="preserve">, which is beyond a single constructed year. Nonetheless, the recovery shortfall survives every weather variant tested, so that finding does not rest on the construction.</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9" w:name="ref-Caglayan2020caverns"/>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28">
        <w:r>
          <w:rPr>
            <w:rStyle w:val="Hyperlink"/>
          </w:rPr>
          <w:t xml:space="preserve">10.1016/j.ijhydene.2019.12.161</w:t>
        </w:r>
      </w:hyperlink>
      <w:r>
        <w:rPr>
          <w:rFonts w:ascii="Times New Roman" w:hAnsi="Times New Roman"/>
          <w:sz w:val="24"/>
        </w:rPr>
        <w:t xml:space="preserve">.</w:t>
      </w:r>
    </w:p>
    <w:bookmarkEnd w:id="129"/>
    <w:bookmarkStart w:id="130" w:name="ref-Gabrielli2020"/>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30"/>
    <w:bookmarkStart w:id="132" w:name="ref-IEA2023switzerland"/>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31">
        <w:r>
          <w:rPr>
            <w:rStyle w:val="Hyperlink"/>
          </w:rPr>
          <w:t xml:space="preserve">https://www.iea.org/reports/switzerland-2023</w:t>
        </w:r>
      </w:hyperlink>
    </w:p>
    <w:bookmarkEnd w:id="132"/>
    <w:bookmarkStart w:id="134" w:name="ref-Hotmaps2020"/>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3">
        <w:r>
          <w:rPr>
            <w:rStyle w:val="Hyperlink"/>
          </w:rPr>
          <w:t xml:space="preserve">https://gitlab.com/hotmaps/regional_demand</w:t>
        </w:r>
      </w:hyperlink>
    </w:p>
    <w:bookmarkEnd w:id="134"/>
    <w:bookmarkStart w:id="136" w:name="ref-Eurostat2021census"/>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5">
        <w:r>
          <w:rPr>
            <w:rStyle w:val="Hyperlink"/>
          </w:rPr>
          <w:t xml:space="preserve">https://ec.europa.eu/eurostat/databrowser/view/CENS_21DWBNO_R3</w:t>
        </w:r>
      </w:hyperlink>
    </w:p>
    <w:bookmarkEnd w:id="136"/>
    <w:bookmarkStart w:id="138" w:name="ref-ONS2021TS044"/>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7">
        <w:r>
          <w:rPr>
            <w:rStyle w:val="Hyperlink"/>
          </w:rPr>
          <w:t xml:space="preserve">https://www.ons.gov.uk/datasets/TS044/editions/2021</w:t>
        </w:r>
      </w:hyperlink>
    </w:p>
    <w:bookmarkEnd w:id="138"/>
    <w:bookmarkStart w:id="140" w:name="ref-EurostatGISCO2021"/>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9">
        <w:r>
          <w:rPr>
            <w:rStyle w:val="Hyperlink"/>
          </w:rPr>
          <w:t xml:space="preserve">https://gisco-services.ec.europa.eu/distribution/v2/nuts/</w:t>
        </w:r>
      </w:hyperlink>
    </w:p>
    <w:bookmarkEnd w:id="140"/>
    <w:bookmarkStart w:id="142" w:name="ref-DEA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41">
        <w:r>
          <w:rPr>
            <w:rStyle w:val="Hyperlink"/>
          </w:rPr>
          <w:t xml:space="preserve">https://ens.dk/en/our-services/projections-and-models/technology-data</w:t>
        </w:r>
      </w:hyperlink>
    </w:p>
    <w:bookmarkEnd w:id="142"/>
    <w:bookmarkStart w:id="144" w:name="ref-JRC2023technology"/>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3">
        <w:r>
          <w:rPr>
            <w:rStyle w:val="Hyperlink"/>
          </w:rPr>
          <w:t xml:space="preserve">https://publications.jrc.ec.europa.eu/repository/bitstream/JRC109006/kjna28859enn.pdf</w:t>
        </w:r>
      </w:hyperlink>
    </w:p>
    <w:bookmarkEnd w:id="144"/>
    <w:bookmarkStart w:id="146" w:name="ref-IRENA2022heatpumpcosts"/>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5">
        <w:r>
          <w:rPr>
            <w:rStyle w:val="Hyperlink"/>
          </w:rPr>
          <w:t xml:space="preserve">https://www.irena.org/-/media/Files/IRENA/Agency/Publication/2022/Nov/IRENA_Heat_Pumps_Costs_Markets_2022.pdf</w:t>
        </w:r>
      </w:hyperlink>
    </w:p>
    <w:bookmarkEnd w:id="146"/>
    <w:bookmarkStart w:id="148" w:name="ref-EuropeanCommission2024ETS2"/>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7">
        <w:r>
          <w:rPr>
            <w:rStyle w:val="Hyperlink"/>
          </w:rPr>
          <w:t xml:space="preserve">https://climate.ec.europa.eu/eu-action/eu-emissions-trading-system-eu-ets/ets2-buildings-road-transport-and-additional-sectors_en</w:t>
        </w:r>
      </w:hyperlink>
    </w:p>
    <w:bookmarkEnd w:id="148"/>
    <w:bookmarkStart w:id="150" w:name="ref-EHO2024hydrogencost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9">
        <w:r>
          <w:rPr>
            <w:rStyle w:val="Hyperlink"/>
          </w:rPr>
          <w:t xml:space="preserve">https://observatory.clean-hydrogen.europa.eu/hydrogen-landscape/production-trade-and-cost/cost-hydrogen-production</w:t>
        </w:r>
      </w:hyperlink>
    </w:p>
    <w:bookmarkEnd w:id="150"/>
    <w:bookmarkStart w:id="152" w:name="ref-Eurostat2025electricity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https://ec.europa.eu/eurostat/statistics-explained/index.php?title=Electricity_price_statistics</w:t>
        </w:r>
      </w:hyperlink>
    </w:p>
    <w:bookmarkEnd w:id="152"/>
    <w:bookmarkStart w:id="154" w:name="ref-Eurostat2025gasprices"/>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3">
        <w:r>
          <w:rPr>
            <w:rStyle w:val="Hyperlink"/>
          </w:rPr>
          <w:t xml:space="preserve">https://ec.europa.eu/eurostat/statistics-explained/index.php/Natural_gas_price_statistics</w:t>
        </w:r>
      </w:hyperlink>
    </w:p>
    <w:bookmarkEnd w:id="154"/>
    <w:bookmarkStart w:id="156" w:name="ref-Calvin2023Ipcc"/>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5">
        <w:r>
          <w:rPr>
            <w:rStyle w:val="Hyperlink"/>
          </w:rPr>
          <w:t xml:space="preserve">10.59327/ipcc/ar6-9789291691647</w:t>
        </w:r>
      </w:hyperlink>
      <w:r>
        <w:rPr>
          <w:rFonts w:ascii="Times New Roman" w:hAnsi="Times New Roman"/>
          <w:sz w:val="24"/>
        </w:rPr>
        <w:t xml:space="preserve">.</w:t>
      </w:r>
    </w:p>
    <w:bookmarkEnd w:id="156"/>
    <w:bookmarkStart w:id="158" w:name="ref-EMBER2024electric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7">
        <w:r>
          <w:rPr>
            <w:rStyle w:val="Hyperlink"/>
          </w:rPr>
          <w:t xml:space="preserve">https://ember-energy.org/latest-insights/european-electricity-review-2024/</w:t>
        </w:r>
      </w:hyperlink>
    </w:p>
    <w:bookmarkEnd w:id="158"/>
    <w:bookmarkStart w:id="160" w:name="ref-EEA2024gridintensity"/>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9">
        <w:r>
          <w:rPr>
            <w:rStyle w:val="Hyperlink"/>
          </w:rPr>
          <w:t xml:space="preserve">https://www.eea.europa.eu/data-and-maps/indicators/overview-of-the-electricity-production-3/assessment</w:t>
        </w:r>
      </w:hyperlink>
    </w:p>
    <w:bookmarkEnd w:id="160"/>
    <w:bookmarkStart w:id="162" w:name="ref-Lord2014GeologicStorage"/>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61">
        <w:r>
          <w:rPr>
            <w:rStyle w:val="Hyperlink"/>
          </w:rPr>
          <w:t xml:space="preserve">10.1016/j.ijhydene.2014.07.121</w:t>
        </w:r>
      </w:hyperlink>
      <w:r>
        <w:rPr>
          <w:rFonts w:ascii="Times New Roman" w:hAnsi="Times New Roman"/>
          <w:sz w:val="24"/>
        </w:rPr>
        <w:t xml:space="preserve">.</w:t>
      </w:r>
    </w:p>
    <w:bookmarkEnd w:id="162"/>
    <w:bookmarkStart w:id="164" w:name="ref-Papadias2021BulkStorage"/>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3">
        <w:r>
          <w:rPr>
            <w:rStyle w:val="Hyperlink"/>
          </w:rPr>
          <w:t xml:space="preserve">10.1016/j.ijhydene.2021.08.028</w:t>
        </w:r>
      </w:hyperlink>
      <w:r>
        <w:rPr>
          <w:rFonts w:ascii="Times New Roman" w:hAnsi="Times New Roman"/>
          <w:sz w:val="24"/>
        </w:rPr>
        <w:t xml:space="preserve">.</w:t>
      </w:r>
    </w:p>
    <w:bookmarkEnd w:id="164"/>
    <w:bookmarkStart w:id="166" w:name="ref-EuropeanCommission2018LTS"/>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5">
        <w:r>
          <w:rPr>
            <w:rStyle w:val="Hyperlink"/>
          </w:rPr>
          <w:t xml:space="preserve">https://eur-lex.europa.eu/legal-content/EN/TXT/?uri=CELEX:52018DC0773</w:t>
        </w:r>
      </w:hyperlink>
    </w:p>
    <w:bookmarkEnd w:id="166"/>
    <w:bookmarkStart w:id="168" w:name="ref-IEA2023NZ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7">
        <w:r>
          <w:rPr>
            <w:rStyle w:val="Hyperlink"/>
          </w:rPr>
          <w:t xml:space="preserve">https://www.iea.org/reports/net-zero-roadmap-a-global-pathway-to-keep-the-15-c-goal-in-reach</w:t>
        </w:r>
      </w:hyperlink>
    </w:p>
    <w:bookmarkEnd w:id="168"/>
    <w:bookmarkStart w:id="170" w:name="ref-EHPA2023scop"/>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9">
        <w:r>
          <w:rPr>
            <w:rStyle w:val="Hyperlink"/>
          </w:rPr>
          <w:t xml:space="preserve">https://www.ehpa.org/market-data/</w:t>
        </w:r>
      </w:hyperlink>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Kittel2026Dunkelflaute"/>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86">
        <w:r>
          <w:rPr>
            <w:rStyle w:val="Hyperlink"/>
          </w:rPr>
          <w:t xml:space="preserve">10.1038/s41467-026-72681-5</w:t>
        </w:r>
      </w:hyperlink>
      <w:r>
        <w:rPr>
          <w:rFonts w:ascii="Times New Roman" w:hAnsi="Times New Roman"/>
          <w:sz w:val="24"/>
        </w:rPr>
        <w:t xml:space="preserve">.</w:t>
      </w:r>
    </w:p>
    <w:bookmarkEnd w:id="187"/>
    <w:bookmarkStart w:id="189" w:name="ref-Staffell2016Wind"/>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8">
        <w:r>
          <w:rPr>
            <w:rStyle w:val="Hyperlink"/>
          </w:rPr>
          <w:t xml:space="preserve">10.1016/j.energy.2016.08.068</w:t>
        </w:r>
      </w:hyperlink>
      <w:r>
        <w:rPr>
          <w:rFonts w:ascii="Times New Roman" w:hAnsi="Times New Roman"/>
          <w:sz w:val="24"/>
        </w:rPr>
        <w:t xml:space="preserve">.</w:t>
      </w:r>
    </w:p>
    <w:bookmarkEnd w:id="189"/>
    <w:bookmarkStart w:id="191" w:name="ref-Pfenninger2016Solar"/>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90">
        <w:r>
          <w:rPr>
            <w:rStyle w:val="Hyperlink"/>
          </w:rPr>
          <w:t xml:space="preserve">10.1016/j.energy.2016.08.060</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1"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3"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7"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61" Type="http://schemas.openxmlformats.org/officeDocument/2006/relationships/hyperlink" Target="https://doi.org/10.1016/j.ijhydene.2014.07.121" TargetMode="External"/><Relationship Id="rId128" Type="http://schemas.openxmlformats.org/officeDocument/2006/relationships/hyperlink" Target="https://doi.org/10.1016/j.ijhydene.2019.12.161" TargetMode="External"/><Relationship Id="rId163"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5" Type="http://schemas.openxmlformats.org/officeDocument/2006/relationships/hyperlink" Target="https://doi.org/10.59327/ipcc/ar6-9789291691647" TargetMode="External"/><Relationship Id="rId135" Type="http://schemas.openxmlformats.org/officeDocument/2006/relationships/hyperlink" Target="https://ec.europa.eu/eurostat/databrowser/view/CENS_21DWBNO_R3" TargetMode="External"/><Relationship Id="rId153" Type="http://schemas.openxmlformats.org/officeDocument/2006/relationships/hyperlink" Target="https://ec.europa.eu/eurostat/statistics-explained/index.php/Natural_gas_price_statistics" TargetMode="External"/><Relationship Id="rId151" Type="http://schemas.openxmlformats.org/officeDocument/2006/relationships/hyperlink" Target="https://ec.europa.eu/eurostat/statistics-explained/index.php?title=Electricity_price_statistics" TargetMode="External"/><Relationship Id="rId157" Type="http://schemas.openxmlformats.org/officeDocument/2006/relationships/hyperlink" Target="https://ember-energy.org/latest-insights/european-electricity-review-2024/" TargetMode="External"/><Relationship Id="rId141"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9"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3"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9" Type="http://schemas.openxmlformats.org/officeDocument/2006/relationships/hyperlink" Target="https://observatory.clean-hydrogen.europa.eu/hydrogen-landscape/production-trade-and-cost/cost-hydrogen-production" TargetMode="External"/><Relationship Id="rId143"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9"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31"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5" Type="http://schemas.openxmlformats.org/officeDocument/2006/relationships/hyperlink" Target="https://www.irena.org/-/media/Files/IRENA/Agency/Publication/2022/Nov/IRENA_Heat_Pumps_Costs_Markets_2022.pdf" TargetMode="External"/><Relationship Id="rId137"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2026-08-10T20:42:08Z</dcterms:created>
  <dcterms:modified xsi:type="dcterms:W3CDTF">2026-08-10T20:42:08Z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