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nomenclature"/>
    <w:p>
      <w:pPr>
        <w:spacing w:line="480" w:lineRule="auto"/>
        <w:jc w:val="left"/>
      </w:pPr>
      <w:r>
        <w:rPr>
          <w:rFonts w:ascii="Times New Roman" w:hAnsi="Times New Roman"/>
          <w:b/>
          <w:i w:val="0"/>
          <w:sz w:val="24"/>
        </w:rPr>
        <w:t>Graphical abstract</w:t>
      </w:r>
    </w:p>
    <w:p>
      <w:pPr>
        <w:spacing w:line="480" w:lineRule="auto"/>
        <w:jc w:val="left"/>
      </w:pPr>
      <w:r>
        <w:rPr>
          <w:rFonts w:ascii="Times New Roman" w:hAnsi="Times New Roman"/>
          <w:b w:val="0"/>
          <w:i w:val="0"/>
          <w:sz w:val="24"/>
        </w:rPr>
      </w:r>
    </w:p>
    <w:p>
      <w:pPr>
        <w:spacing w:line="240" w:lineRule="auto"/>
        <w:jc w:val="center"/>
      </w:pPr>
      <w:r>
        <w:rPr>
          <w:rFonts w:ascii="Times New Roman" w:hAnsi="Times New Roman"/>
          <w:sz w:val="24"/>
        </w:rPr>
        <w:drawing>
          <wp:inline>
            <wp:extent cx="5760000" cy="4450909"/>
            <wp:docPr id="47" name="Picture 47"/>
            <wp:cNvGraphicFramePr>
              <a:graphicFrameLocks noChangeAspect="1"/>
            </wp:cNvGraphicFramePr>
            <a:graphic>
              <a:graphicData uri="http://schemas.openxmlformats.org/drawingml/2006/picture">
                <pic:pic>
                  <pic:nvPicPr>
                    <pic:cNvPr id="0" name="graphical_abstract.png"/>
                    <pic:cNvPicPr/>
                  </pic:nvPicPr>
                  <pic:blipFill>
                    <a:blip r:embed="rId10"/>
                    <a:stretch>
                      <a:fillRect/>
                    </a:stretch>
                  </pic:blipFill>
                  <pic:spPr>
                    <a:xfrm>
                      <a:off x="0" y="0"/>
                      <a:ext cx="5760000" cy="4450909"/>
                    </a:xfrm>
                    <a:prstGeom prst="rect"/>
                  </pic:spPr>
                </pic:pic>
              </a:graphicData>
            </a:graphic>
          </wp:inline>
        </w:drawing>
      </w:r>
    </w:p>
    <w:p>
      <w:r>
        <w:rPr>
          <w:rFonts w:ascii="Times New Roman" w:hAnsi="Times New Roman"/>
          <w:sz w:val="24"/>
        </w:rPr>
        <w:br w:type="page"/>
      </w:r>
    </w:p>
    <w:p>
      <w:pPr>
        <w:spacing w:line="480" w:lineRule="auto"/>
        <w:jc w:val="left"/>
      </w:pPr>
      <w:r>
        <w:rPr>
          <w:rFonts w:ascii="Times New Roman" w:hAnsi="Times New Roman"/>
          <w:b/>
          <w:i w:val="0"/>
          <w:sz w:val="24"/>
        </w:rPr>
        <w:t>Highlights</w:t>
      </w:r>
    </w:p>
    <w:p>
      <w:pPr>
        <w:spacing w:line="480" w:lineRule="auto"/>
        <w:jc w:val="left"/>
      </w:pPr>
      <w:r>
        <w:rPr>
          <w:rFonts w:ascii="Times New Roman" w:hAnsi="Times New Roman"/>
          <w:b w:val="0"/>
          <w:i w:val="0"/>
          <w:sz w:val="24"/>
        </w:rPr>
      </w:r>
    </w:p>
    <w:p>
      <w:pPr>
        <w:spacing w:line="480" w:lineRule="auto"/>
        <w:jc w:val="left"/>
      </w:pPr>
      <w:r>
        <w:rPr>
          <w:rFonts w:ascii="Times New Roman" w:hAnsi="Times New Roman"/>
          <w:b w:val="0"/>
          <w:i w:val="0"/>
          <w:sz w:val="24"/>
        </w:rPr>
        <w:t>• Heat pumps beat hydrogen on 2050 base-load heat cost in 22 of 29 markets</w:t>
      </w:r>
    </w:p>
    <w:p>
      <w:pPr>
        <w:spacing w:line="480" w:lineRule="auto"/>
        <w:jc w:val="left"/>
      </w:pPr>
      <w:r>
        <w:rPr>
          <w:rFonts w:ascii="Times New Roman" w:hAnsi="Times New Roman"/>
          <w:b w:val="0"/>
          <w:i w:val="0"/>
          <w:sz w:val="24"/>
        </w:rPr>
        <w:t>• Hydrogen wins the high-carbon power peak in seven cavern markets at equal efficiency</w:t>
      </w:r>
    </w:p>
    <w:p>
      <w:pPr>
        <w:spacing w:line="480" w:lineRule="auto"/>
        <w:jc w:val="left"/>
      </w:pPr>
      <w:r>
        <w:rPr>
          <w:rFonts w:ascii="Times New Roman" w:hAnsi="Times New Roman"/>
          <w:b w:val="0"/>
          <w:i w:val="0"/>
          <w:sz w:val="24"/>
        </w:rPr>
        <w:t>• No tested market fully recovers peaker capital across the assumed scarcity margins</w:t>
      </w:r>
    </w:p>
    <w:p>
      <w:pPr>
        <w:spacing w:line="480" w:lineRule="auto"/>
        <w:jc w:val="left"/>
      </w:pPr>
      <w:r>
        <w:rPr>
          <w:rFonts w:ascii="Times New Roman" w:hAnsi="Times New Roman"/>
          <w:b w:val="0"/>
          <w:i w:val="0"/>
          <w:sz w:val="24"/>
        </w:rPr>
        <w:t>• At €600/kW turbine capital cost, technology-neutral support favours gas</w:t>
      </w:r>
    </w:p>
    <w:p>
      <w:pPr>
        <w:spacing w:line="480" w:lineRule="auto"/>
        <w:jc w:val="left"/>
      </w:pPr>
      <w:r>
        <w:rPr>
          <w:rFonts w:ascii="Times New Roman" w:hAnsi="Times New Roman"/>
          <w:b w:val="0"/>
          <w:i w:val="0"/>
          <w:sz w:val="24"/>
        </w:rPr>
        <w:t>• Scenario ambition shifts 2050 residential-heating emissions by 342 MtCO₂/yr</w:t>
      </w:r>
    </w:p>
    <w:p>
      <w:r>
        <w:rPr>
          <w:rFonts w:ascii="Times New Roman" w:hAnsi="Times New Roman"/>
          <w:sz w:val="24"/>
        </w:rPr>
        <w:br w:type="page"/>
      </w:r>
    </w:p>
    <w:p>
      <w:pPr>
        <w:spacing w:line="480" w:lineRule="auto"/>
        <w:jc w:val="center"/>
      </w:pPr>
      <w:r>
        <w:rPr>
          <w:rFonts w:ascii="Times New Roman" w:hAnsi="Times New Roman"/>
          <w:b/>
          <w:i w:val="0"/>
          <w:sz w:val="24"/>
        </w:rPr>
        <w:t>Hydrogen in residential heating and the power system: a merit-order and capital-recovery assessment for 29 European markets</w:t>
      </w:r>
    </w:p>
    <w:p>
      <w:pPr>
        <w:spacing w:line="480" w:lineRule="auto"/>
        <w:jc w:val="left"/>
      </w:pPr>
      <w:r>
        <w:rPr>
          <w:rFonts w:ascii="Times New Roman" w:hAnsi="Times New Roman"/>
          <w:b w:val="0"/>
          <w:i w:val="0"/>
          <w:sz w:val="24"/>
        </w:rPr>
      </w:r>
    </w:p>
    <w:p>
      <w:pPr>
        <w:spacing w:line="480" w:lineRule="auto"/>
        <w:jc w:val="center"/>
      </w:pPr>
      <w:r>
        <w:rPr>
          <w:rFonts w:ascii="Times New Roman" w:hAnsi="Times New Roman"/>
          <w:b w:val="0"/>
          <w:i w:val="0"/>
          <w:sz w:val="24"/>
        </w:rPr>
        <w:t>Abdurahman Alsulaiman1, Ali Alajwad2,3</w:t>
      </w:r>
    </w:p>
    <w:p>
      <w:pPr>
        <w:spacing w:line="480" w:lineRule="auto"/>
        <w:jc w:val="center"/>
      </w:pPr>
      <w:r>
        <w:rPr>
          <w:rFonts w:ascii="Times New Roman" w:hAnsi="Times New Roman"/>
          <w:b w:val="0"/>
          <w:i/>
          <w:sz w:val="24"/>
        </w:rPr>
        <w:t>1 Laboratory of Environmental and Urban Economics (LEURE), EPFL, Switzerland</w:t>
      </w:r>
    </w:p>
    <w:p>
      <w:pPr>
        <w:spacing w:line="480" w:lineRule="auto"/>
        <w:jc w:val="center"/>
      </w:pPr>
      <w:r>
        <w:rPr>
          <w:rFonts w:ascii="Times New Roman" w:hAnsi="Times New Roman"/>
          <w:b w:val="0"/>
          <w:i/>
          <w:sz w:val="24"/>
        </w:rPr>
        <w:t>2 RENEW Lab, Johns Hopkins University, Baltimore, MD, USA</w:t>
      </w:r>
    </w:p>
    <w:p>
      <w:pPr>
        <w:spacing w:line="480" w:lineRule="auto"/>
        <w:jc w:val="center"/>
      </w:pPr>
      <w:r>
        <w:rPr>
          <w:rFonts w:ascii="Times New Roman" w:hAnsi="Times New Roman"/>
          <w:b w:val="0"/>
          <w:i/>
          <w:sz w:val="24"/>
        </w:rPr>
        <w:t>3 Cornell University, Ithaca, NY, USA</w:t>
      </w:r>
    </w:p>
    <w:p>
      <w:pPr>
        <w:spacing w:line="480" w:lineRule="auto"/>
        <w:jc w:val="left"/>
      </w:pPr>
      <w:r>
        <w:rPr>
          <w:rFonts w:ascii="Times New Roman" w:hAnsi="Times New Roman"/>
          <w:b w:val="0"/>
          <w:i w:val="0"/>
          <w:sz w:val="24"/>
        </w:rPr>
      </w:r>
    </w:p>
    <w:p>
      <w:pPr>
        <w:spacing w:line="480" w:lineRule="auto"/>
        <w:jc w:val="center"/>
      </w:pPr>
      <w:r>
        <w:rPr>
          <w:rFonts w:ascii="Times New Roman" w:hAnsi="Times New Roman"/>
          <w:b w:val="0"/>
          <w:i/>
          <w:sz w:val="24"/>
        </w:rPr>
        <w:t>Corresponding author: Abdurahman Alsulaiman</w:t>
      </w:r>
    </w:p>
    <w:p>
      <w:r>
        <w:rPr>
          <w:rFonts w:ascii="Times New Roman" w:hAnsi="Times New Roman"/>
          <w:sz w:val="24"/>
        </w:rPr>
        <w:br w:type="page"/>
      </w:r>
    </w:p>
    <w:p>
      <w:pPr>
        <w:spacing w:line="480" w:lineRule="auto"/>
        <w:jc w:val="left"/>
      </w:pPr>
      <w:r>
        <w:rPr>
          <w:rFonts w:ascii="Times New Roman" w:hAnsi="Times New Roman"/>
          <w:b/>
          <w:i w:val="0"/>
          <w:sz w:val="24"/>
        </w:rPr>
        <w:t>Abstract</w:t>
      </w:r>
    </w:p>
    <w:p>
      <w:pPr>
        <w:spacing w:line="480" w:lineRule="auto"/>
        <w:jc w:val="both"/>
      </w:pPr>
      <w:r>
        <w:rPr>
          <w:rFonts w:ascii="Times New Roman" w:hAnsi="Times New Roman"/>
          <w:b w:val="0"/>
          <w:i w:val="0"/>
          <w:sz w:val="24"/>
        </w:rPr>
        <w:t>Hydrogen for European residential heating is usually assessed at national resolution or imposed as an adoption share, neither of which tests market-level capital recovery for peak-serving assets. We reconstruct a 1,369-region NUTS3 heat-demand surface across 29 markets, aggregate it to country level, and represent scenario uncertainty with 200 draws per scenario. Four scenarios impose exogenous hydrogen-adoption settings, compared with independently derived winter-peak dispatch support. Three roles are tested: annual levelised cost; cold-snap dispatch across buildings, district heat and power; and peaker capital recovery. At central 2050 parameters, the best heat pump costs €118.5/MWh, versus €122.8/MWh for hydrogen and €132.7/MWh for gas. With firm-generation cost allocated pro rata to heating's annual electricity-demand share, heat pumps beat hydrogen in 22 of 29 markets. Allocation by the change in peaking capacity gives 19 heat-pump wins at the low bound and 17 at the high bound. Heat-pump wins range from 13 to 29 across the hydrogen-price paths tested. On the high-carbon, equal-efficiency series, hydrogen undercuts gas at the power peak in a different set of seven markets, all with salt caverns. No tested market reaches full peaker-capital recovery over the €30–120/MWh scarcity-margin range; capacity-weighted recovery among the five that build is about 9%. At €600/kW for a hydrogen-ready turbine, technology-neutral support favours gas; selecting hydrogen requires an emissions-conditioned premium of about €172/tCO₂ of displaced gas. Operational residential-heating emissions fall from 644 MtCO₂ in 2025 to 10–352 MtCO₂ in 2050. Power-sector quantities rest on one constructed weather year and are screening results, not adequacy estimates.</w:t>
      </w:r>
    </w:p>
    <w:p>
      <w:pPr>
        <w:spacing w:line="480" w:lineRule="auto"/>
        <w:jc w:val="left"/>
      </w:pPr>
      <w:r>
        <w:rPr>
          <w:rFonts w:ascii="Times New Roman" w:hAnsi="Times New Roman"/>
          <w:b w:val="0"/>
          <w:i w:val="0"/>
          <w:sz w:val="24"/>
        </w:rPr>
      </w:r>
    </w:p>
    <w:p>
      <w:pPr>
        <w:spacing w:line="480" w:lineRule="auto"/>
        <w:jc w:val="left"/>
      </w:pPr>
      <w:r>
        <w:rPr>
          <w:rFonts w:ascii="Times New Roman" w:hAnsi="Times New Roman"/>
          <w:b w:val="0"/>
          <w:i w:val="0"/>
          <w:sz w:val="24"/>
        </w:rPr>
        <w:t>Keywords: Heat pumps; Hydrogen; Building heat decarbonisation; Seasonal hydrogen storage; Missing money</w:t>
      </w:r>
    </w:p>
    <w:p>
      <w:r>
        <w:rPr>
          <w:rFonts w:ascii="Times New Roman" w:hAnsi="Times New Roman"/>
          <w:sz w:val="24"/>
        </w:rPr>
        <w:br w:type="page"/>
      </w:r>
    </w:p>
    <w:p>
      <w:pPr>
        <w:pStyle w:val="Heading1"/>
      </w:pPr>
      <w:r>
        <w:rPr>
          <w:rFonts w:ascii="Times New Roman" w:hAnsi="Times New Roman"/>
          <w:sz w:val="24"/>
        </w:rPr>
        <w:t xml:space="preserve">Nomenclature</w:t>
      </w:r>
    </w:p>
    <w:p>
      <w:pPr>
        <w:pStyle w:val="FirstParagraph"/>
      </w:pPr>
      <m:oMath>
        <m:sSubSup>
          <m:e>
            <m:r>
              <m:t>c</m:t>
            </m:r>
          </m:e>
          <m:sub>
            <m:r>
              <m:t>c</m:t>
            </m:r>
          </m:sub>
          <m:sup>
            <m:r>
              <m:rPr>
                <m:sty m:val="p"/>
              </m:rPr>
              <m:t>gas</m:t>
            </m:r>
          </m:sup>
        </m:sSubSup>
        <m:r>
          <m:rPr>
            <m:sty m:val="p"/>
          </m:rPr>
          <m:t xml:space="preserve">, </m:t>
        </m:r>
        <m:sSubSup>
          <m:e>
            <m:r>
              <m:t>c</m:t>
            </m:r>
          </m:e>
          <m:sub>
            <m:r>
              <m:t>c</m:t>
            </m:r>
          </m:sub>
          <m:sup>
            <m:sSub>
              <m:e>
                <m:r>
                  <m:rPr>
                    <m:sty m:val="p"/>
                  </m:rPr>
                  <m:t>H</m:t>
                </m:r>
              </m:e>
              <m:sub>
                <m:r>
                  <m:rPr>
                    <m:sty m:val="p"/>
                  </m:rPr>
                  <m:t>2</m:t>
                </m:r>
              </m:sub>
            </m:sSub>
          </m:sup>
        </m:sSubSup>
        <m:r>
          <m:rPr>
            <m:sty m:val="p"/>
          </m:rPr>
          <m:t xml:space="preserve">, </m:t>
        </m:r>
        <m:sSubSup>
          <m:e>
            <m:r>
              <m:t>c</m:t>
            </m:r>
          </m:e>
          <m:sub>
            <m:r>
              <m:t>c</m:t>
            </m:r>
          </m:sub>
          <m:sup>
            <m:r>
              <m:rPr>
                <m:sty m:val="p"/>
              </m:rPr>
              <m:t>HP</m:t>
            </m:r>
          </m:sup>
        </m:sSubSup>
      </m:oMath>
      <w:r>
        <w:rPr>
          <w:rFonts w:ascii="Times New Roman" w:hAnsi="Times New Roman"/>
          <w:sz w:val="24"/>
        </w:rPr>
        <w:t xml:space="preserve"> </w:t>
      </w:r>
      <w:r>
        <w:rPr>
          <w:rFonts w:ascii="Times New Roman" w:hAnsi="Times New Roman"/>
          <w:sz w:val="24"/>
        </w:rPr>
        <w:t xml:space="preserve">– Short-run marginal cost of delivered heat from the gas boiler, hydrogen boiler and heat pump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(€/MWh-heat)</w:t>
      </w:r>
    </w:p>
    <w:p>
      <w:pPr>
        <w:pStyle w:val="BodyText"/>
      </w:pPr>
      <m:oMath>
        <m:sSubSup>
          <m:e>
            <m:r>
              <m:rPr>
                <m:sty m:val="p"/>
              </m:rPr>
              <m:t>COP</m:t>
            </m:r>
          </m:e>
          <m:sub>
            <m:r>
              <m:t>c</m:t>
            </m:r>
          </m:sub>
          <m:sup>
            <m:r>
              <m:rPr>
                <m:sty m:val="p"/>
              </m:rPr>
              <m:t>cold</m:t>
            </m:r>
          </m:sup>
        </m:sSubSup>
      </m:oMath>
      <w:r>
        <w:rPr>
          <w:rFonts w:ascii="Times New Roman" w:hAnsi="Times New Roman"/>
          <w:sz w:val="24"/>
        </w:rPr>
        <w:t xml:space="preserve"> </w:t>
      </w:r>
      <w:r>
        <w:rPr>
          <w:rFonts w:ascii="Times New Roman" w:hAnsi="Times New Roman"/>
          <w:sz w:val="24"/>
        </w:rPr>
        <w:t xml:space="preserve">– Cold-snap heat-pump coefficient of performance in country</w:t>
      </w:r>
      <w:r>
        <w:rPr>
          <w:rFonts w:ascii="Times New Roman" w:hAnsi="Times New Roman"/>
          <w:sz w:val="24"/>
        </w:rPr>
        <w:t xml:space="preserve"> </w:t>
      </w:r>
      <m:oMath>
        <m:r>
          <m:t>c</m:t>
        </m:r>
      </m:oMath>
    </w:p>
    <w:p>
      <w:pPr>
        <w:pStyle w:val="BodyText"/>
      </w:pPr>
      <m:oMath>
        <m:sSub>
          <m:e>
            <m:r>
              <m:rPr>
                <m:sty m:val="p"/>
              </m:rPr>
              <m:t>CRF</m:t>
            </m:r>
          </m:e>
          <m:sub>
            <m:r>
              <m:t>c</m:t>
            </m:r>
          </m:sub>
        </m:sSub>
      </m:oMath>
      <w:r>
        <w:rPr>
          <w:rFonts w:ascii="Times New Roman" w:hAnsi="Times New Roman"/>
          <w:sz w:val="24"/>
        </w:rPr>
        <w:t xml:space="preserve"> </w:t>
      </w:r>
      <w:r>
        <w:rPr>
          <w:rFonts w:ascii="Times New Roman" w:hAnsi="Times New Roman"/>
          <w:sz w:val="24"/>
        </w:rPr>
        <w:t xml:space="preserve">– Capital-recovery factor at country discount rate</w:t>
      </w:r>
      <w:r>
        <w:rPr>
          <w:rFonts w:ascii="Times New Roman" w:hAnsi="Times New Roman"/>
          <w:sz w:val="24"/>
        </w:rPr>
        <w:t xml:space="preserve"> </w:t>
      </w:r>
      <m:oMath>
        <m:sSub>
          <m:e>
            <m:r>
              <m:t>r</m:t>
            </m:r>
          </m:e>
          <m:sub>
            <m:r>
              <m:t>c</m:t>
            </m:r>
          </m:sub>
        </m:sSub>
      </m:oMath>
      <w:r>
        <w:rPr>
          <w:rFonts w:ascii="Times New Roman" w:hAnsi="Times New Roman"/>
          <w:sz w:val="24"/>
        </w:rPr>
        <w:t xml:space="preserve"> </w:t>
      </w:r>
      <w:r>
        <w:rPr>
          <w:rFonts w:ascii="Times New Roman" w:hAnsi="Times New Roman"/>
          <w:sz w:val="24"/>
        </w:rPr>
        <w:t xml:space="preserve">over the asset life (25 yr for the peaking turbine)</w:t>
      </w:r>
    </w:p>
    <w:p>
      <w:pPr>
        <w:pStyle w:val="BodyText"/>
      </w:pPr>
      <m:oMath>
        <m:sSub>
          <m:e>
            <m:r>
              <m:t>D</m:t>
            </m:r>
          </m:e>
          <m:sub>
            <m:r>
              <m:t>c</m:t>
            </m:r>
          </m:sub>
        </m:sSub>
        <m:r>
          <m:rPr>
            <m:sty m:val="p"/>
          </m:rPr>
          <m:t>(</m:t>
        </m:r>
        <m:r>
          <m:t>t</m:t>
        </m:r>
        <m:r>
          <m:rPr>
            <m:sty m:val="p"/>
          </m:rPr>
          <m:t>)</m:t>
        </m:r>
      </m:oMath>
      <w:r>
        <w:rPr>
          <w:rFonts w:ascii="Times New Roman" w:hAnsi="Times New Roman"/>
          <w:sz w:val="24"/>
        </w:rPr>
        <w:t xml:space="preserve"> </w:t>
      </w:r>
      <w:r>
        <w:rPr>
          <w:rFonts w:ascii="Times New Roman" w:hAnsi="Times New Roman"/>
          <w:sz w:val="24"/>
        </w:rPr>
        <w:t xml:space="preserve">– National useful heat demand in country</w:t>
      </w:r>
      <w:r>
        <w:rPr>
          <w:rFonts w:ascii="Times New Roman" w:hAnsi="Times New Roman"/>
          <w:sz w:val="24"/>
        </w:rPr>
        <w:t xml:space="preserve"> </w:t>
      </w:r>
      <m:oMath>
        <m:r>
          <m:t>c</m:t>
        </m:r>
      </m:oMath>
      <w:r>
        <w:rPr>
          <w:rFonts w:ascii="Times New Roman" w:hAnsi="Times New Roman"/>
          <w:sz w:val="24"/>
        </w:rPr>
        <w:t xml:space="preserve">, year</w:t>
      </w:r>
      <w:r>
        <w:rPr>
          <w:rFonts w:ascii="Times New Roman" w:hAnsi="Times New Roman"/>
          <w:sz w:val="24"/>
        </w:rPr>
        <w:t xml:space="preserve"> </w:t>
      </w:r>
      <m:oMath>
        <m:r>
          <m:t>t</m:t>
        </m:r>
      </m:oMath>
      <w:r>
        <w:rPr>
          <w:rFonts w:ascii="Times New Roman" w:hAnsi="Times New Roman"/>
          <w:sz w:val="24"/>
        </w:rPr>
        <w:t xml:space="preserve"> </w:t>
      </w:r>
      <w:r>
        <w:rPr>
          <w:rFonts w:ascii="Times New Roman" w:hAnsi="Times New Roman"/>
          <w:sz w:val="24"/>
        </w:rPr>
        <w:t xml:space="preserve">(TWh/yr)</w:t>
      </w:r>
    </w:p>
    <w:p>
      <w:pPr>
        <w:pStyle w:val="BodyText"/>
      </w:pPr>
      <m:oMath>
        <m:sSubSup>
          <m:e>
            <m:r>
              <m:t>D</m:t>
            </m:r>
          </m:e>
          <m:sub>
            <m:r>
              <m:t>c</m:t>
            </m:r>
          </m:sub>
          <m:sup>
            <m:r>
              <m:t>0</m:t>
            </m:r>
          </m:sup>
        </m:sSubSup>
      </m:oMath>
      <w:r>
        <w:rPr>
          <w:rFonts w:ascii="Times New Roman" w:hAnsi="Times New Roman"/>
          <w:sz w:val="24"/>
        </w:rPr>
        <w:t xml:space="preserve"> </w:t>
      </w:r>
      <w:r>
        <w:rPr>
          <w:rFonts w:ascii="Times New Roman" w:hAnsi="Times New Roman"/>
          <w:sz w:val="24"/>
        </w:rPr>
        <w:t xml:space="preserve">– National base-year (2025) useful heat demand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(TWh/yr)</w:t>
      </w:r>
    </w:p>
    <w:p>
      <w:pPr>
        <w:pStyle w:val="BodyText"/>
      </w:pPr>
      <m:oMath>
        <m:sSup>
          <m:e>
            <m:r>
              <m:t>D</m:t>
            </m:r>
          </m:e>
          <m:sup>
            <m:r>
              <m:rPr>
                <m:sty m:val="p"/>
              </m:rPr>
              <m:t>pk</m:t>
            </m:r>
          </m:sup>
        </m:sSup>
      </m:oMath>
      <w:r>
        <w:rPr>
          <w:rFonts w:ascii="Times New Roman" w:hAnsi="Times New Roman"/>
          <w:sz w:val="24"/>
        </w:rPr>
        <w:t xml:space="preserve"> </w:t>
      </w:r>
      <w:r>
        <w:rPr>
          <w:rFonts w:ascii="Times New Roman" w:hAnsi="Times New Roman"/>
          <w:sz w:val="24"/>
        </w:rPr>
        <w:t xml:space="preserve">– System peak electricity demand (GW)</w:t>
      </w:r>
    </w:p>
    <w:p>
      <w:pPr>
        <w:pStyle w:val="BodyText"/>
      </w:pPr>
      <m:oMath>
        <m:sSup>
          <m:e>
            <m:r>
              <m:t>D</m:t>
            </m:r>
          </m:e>
          <m:sup>
            <m:r>
              <m:rPr>
                <m:sty m:val="p"/>
              </m:rPr>
              <m:t>tot</m:t>
            </m:r>
          </m:sup>
        </m:sSup>
      </m:oMath>
      <w:r>
        <w:rPr>
          <w:rFonts w:ascii="Times New Roman" w:hAnsi="Times New Roman"/>
          <w:sz w:val="24"/>
        </w:rPr>
        <w:t xml:space="preserve"> </w:t>
      </w:r>
      <w:r>
        <w:rPr>
          <w:rFonts w:ascii="Times New Roman" w:hAnsi="Times New Roman"/>
          <w:sz w:val="24"/>
        </w:rPr>
        <w:t xml:space="preserve">– Total electricity demand (TWh/yr)</w:t>
      </w:r>
    </w:p>
    <w:p>
      <w:pPr>
        <w:pStyle w:val="BodyText"/>
      </w:pPr>
      <m:oMath>
        <m:r>
          <m:rPr>
            <m:sty m:val="p"/>
          </m:rPr>
          <m:t>(Dw/Pop</m:t>
        </m:r>
        <m:sSub>
          <m:e>
            <m:r>
              <m:rPr>
                <m:sty m:val="p"/>
              </m:rPr>
              <m:t>)</m:t>
            </m:r>
          </m:e>
          <m:sub>
            <m:r>
              <m:t>c</m:t>
            </m:r>
            <m:r>
              <m:rPr>
                <m:sty m:val="p"/>
              </m:rPr>
              <m:t>,</m:t>
            </m:r>
            <m:r>
              <m:t>t</m:t>
            </m:r>
          </m:sub>
        </m:sSub>
      </m:oMath>
      <w:r>
        <w:rPr>
          <w:rFonts w:ascii="Times New Roman" w:hAnsi="Times New Roman"/>
          <w:sz w:val="24"/>
        </w:rPr>
        <w:t xml:space="preserve"> </w:t>
      </w:r>
      <w:r>
        <w:rPr>
          <w:rFonts w:ascii="Times New Roman" w:hAnsi="Times New Roman"/>
          <w:sz w:val="24"/>
        </w:rPr>
        <w:t xml:space="preserve">– Dwellings per capita in country</w:t>
      </w:r>
      <w:r>
        <w:rPr>
          <w:rFonts w:ascii="Times New Roman" w:hAnsi="Times New Roman"/>
          <w:sz w:val="24"/>
        </w:rPr>
        <w:t xml:space="preserve"> </w:t>
      </w:r>
      <m:oMath>
        <m:r>
          <m:t>c</m:t>
        </m:r>
      </m:oMath>
      <w:r>
        <w:rPr>
          <w:rFonts w:ascii="Times New Roman" w:hAnsi="Times New Roman"/>
          <w:sz w:val="24"/>
        </w:rPr>
        <w:t xml:space="preserve">, year</w:t>
      </w:r>
      <w:r>
        <w:rPr>
          <w:rFonts w:ascii="Times New Roman" w:hAnsi="Times New Roman"/>
          <w:sz w:val="24"/>
        </w:rPr>
        <w:t xml:space="preserve"> </w:t>
      </w:r>
      <m:oMath>
        <m:r>
          <m:t>t</m:t>
        </m:r>
      </m:oMath>
    </w:p>
    <w:p>
      <w:pPr>
        <w:pStyle w:val="BodyText"/>
      </w:pPr>
      <m:oMath>
        <m:sSub>
          <m:e>
            <m:r>
              <m:t>e</m:t>
            </m:r>
          </m:e>
          <m:sub>
            <m:r>
              <m:rPr>
                <m:sty m:val="p"/>
              </m:rPr>
              <m:t>g</m:t>
            </m:r>
          </m:sub>
        </m:sSub>
      </m:oMath>
      <w:r>
        <w:rPr>
          <w:rFonts w:ascii="Times New Roman" w:hAnsi="Times New Roman"/>
          <w:sz w:val="24"/>
        </w:rPr>
        <w:t xml:space="preserve"> </w:t>
      </w:r>
      <w:r>
        <w:rPr>
          <w:rFonts w:ascii="Times New Roman" w:hAnsi="Times New Roman"/>
          <w:sz w:val="24"/>
        </w:rPr>
        <w:t xml:space="preserve">– Natural-gas emission factor (</w:t>
      </w:r>
      <w:r>
        <w:t xml:space="preserve">=0.202</w:t>
      </w:r>
      <w:r>
        <w:rPr>
          <w:rFonts w:ascii="Times New Roman" w:hAnsi="Times New Roman"/>
          <w:sz w:val="24"/>
        </w:rPr>
        <w:t xml:space="preserve"> </w:t>
      </w:r>
      <w:r>
        <w:rPr>
          <w:rFonts w:ascii="Times New Roman" w:hAnsi="Times New Roman"/>
          <w:sz w:val="24"/>
        </w:rPr>
        <w:t xml:space="preserve">tCO</w:t>
      </w:r>
      <w:r>
        <w:rPr>
          <w:vertAlign w:val="subscript"/>
        </w:rPr>
        <w:t xml:space="preserve">2</w:t>
      </w:r>
      <w:r>
        <w:rPr>
          <w:rFonts w:ascii="Times New Roman" w:hAnsi="Times New Roman"/>
          <w:sz w:val="24"/>
        </w:rPr>
        <w:t xml:space="preserve">/MWh)</w:t>
      </w:r>
    </w:p>
    <w:p>
      <w:pPr>
        <w:pStyle w:val="BodyText"/>
      </w:pPr>
      <m:oMath>
        <m:sSubSup>
          <m:e>
            <m:r>
              <m:t>E</m:t>
            </m:r>
          </m:e>
          <m:sub>
            <m:r>
              <m:t>c</m:t>
            </m:r>
          </m:sub>
          <m:sup>
            <m:r>
              <m:rPr>
                <m:sty m:val="p"/>
              </m:rPr>
              <m:t>pk</m:t>
            </m:r>
          </m:sup>
        </m:sSubSup>
      </m:oMath>
      <w:r>
        <w:rPr>
          <w:rFonts w:ascii="Times New Roman" w:hAnsi="Times New Roman"/>
          <w:sz w:val="24"/>
        </w:rPr>
        <w:t xml:space="preserve"> </w:t>
      </w:r>
      <w:r>
        <w:rPr>
          <w:rFonts w:ascii="Times New Roman" w:hAnsi="Times New Roman"/>
          <w:sz w:val="24"/>
        </w:rPr>
        <w:t xml:space="preserve">– Annual energy generated by the firm peaking fleet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(TWh)</w:t>
      </w:r>
    </w:p>
    <w:p>
      <w:pPr>
        <w:pStyle w:val="BodyText"/>
      </w:pPr>
      <m:oMath>
        <m:r>
          <m:t>f</m:t>
        </m:r>
      </m:oMath>
      <w:r>
        <w:rPr>
          <w:rFonts w:ascii="Times New Roman" w:hAnsi="Times New Roman"/>
          <w:sz w:val="24"/>
        </w:rPr>
        <w:t xml:space="preserve"> </w:t>
      </w:r>
      <w:r>
        <w:rPr>
          <w:rFonts w:ascii="Times New Roman" w:hAnsi="Times New Roman"/>
          <w:sz w:val="24"/>
        </w:rPr>
        <w:t xml:space="preserve">– Fixed operating-cost rate on peaking-turbine capital (</w:t>
      </w:r>
      <w:r>
        <w:t xml:space="preserve">=2.5 %</w:t>
      </w:r>
      <w:r>
        <w:rPr>
          <w:rFonts w:ascii="Times New Roman" w:hAnsi="Times New Roman"/>
          <w:sz w:val="24"/>
        </w:rPr>
        <w:t xml:space="preserve">/yr)</w:t>
      </w:r>
    </w:p>
    <w:p>
      <w:pPr>
        <w:pStyle w:val="BodyText"/>
      </w:pPr>
      <m:oMath>
        <m:sSub>
          <m:e>
            <m:r>
              <m:rPr>
                <m:sty m:val="p"/>
              </m:rPr>
              <m:t>FLH</m:t>
            </m:r>
          </m:e>
          <m:sub>
            <m:r>
              <m:t>c</m:t>
            </m:r>
          </m:sub>
        </m:sSub>
      </m:oMath>
      <w:r>
        <w:rPr>
          <w:rFonts w:ascii="Times New Roman" w:hAnsi="Times New Roman"/>
          <w:sz w:val="24"/>
        </w:rPr>
        <w:t xml:space="preserve"> </w:t>
      </w:r>
      <w:r>
        <w:rPr>
          <w:rFonts w:ascii="Times New Roman" w:hAnsi="Times New Roman"/>
          <w:sz w:val="24"/>
        </w:rPr>
        <w:t xml:space="preserve">– Full-load hours of the hydrogen peaker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(h/yr)</w:t>
      </w:r>
    </w:p>
    <w:p>
      <w:pPr>
        <w:pStyle w:val="BodyText"/>
      </w:pPr>
      <m:oMath>
        <m:sSub>
          <m:e>
            <m:r>
              <m:t>H</m:t>
            </m:r>
          </m:e>
          <m:sub>
            <m:r>
              <m:t>c</m:t>
            </m:r>
          </m:sub>
        </m:sSub>
      </m:oMath>
      <w:r>
        <w:rPr>
          <w:rFonts w:ascii="Times New Roman" w:hAnsi="Times New Roman"/>
          <w:sz w:val="24"/>
        </w:rPr>
        <w:t xml:space="preserve"> </w:t>
      </w:r>
      <w:r>
        <w:rPr>
          <w:rFonts w:ascii="Times New Roman" w:hAnsi="Times New Roman"/>
          <w:sz w:val="24"/>
        </w:rPr>
        <w:t xml:space="preserve">– Equivalent full-load hours of the peak slice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w:t>
      </w:r>
      <w:r>
        <w:t xml:space="preserve">≈</w:t>
      </w:r>
      <w:r>
        <w:rPr>
          <w:rFonts w:ascii="Times New Roman" w:hAnsi="Times New Roman"/>
          <w:sz w:val="24"/>
        </w:rPr>
        <w:t xml:space="preserve">518 h/yr, over a 2</w:t>
      </w:r>
      <w:r>
        <w:rPr>
          <w:rFonts w:ascii="Times New Roman" w:hAnsi="Times New Roman"/>
          <w:sz w:val="24"/>
        </w:rPr>
        <w:t xml:space="preserve">,</w:t>
      </w:r>
      <w:r>
        <w:rPr>
          <w:rFonts w:ascii="Times New Roman" w:hAnsi="Times New Roman"/>
          <w:sz w:val="24"/>
        </w:rPr>
        <w:t xml:space="preserve">000 h window)</w:t>
      </w:r>
    </w:p>
    <w:p>
      <w:pPr>
        <w:pStyle w:val="BodyText"/>
      </w:pPr>
      <m:oMath>
        <m:sSubSup>
          <m:e>
            <m:r>
              <m:t>H</m:t>
            </m:r>
          </m:e>
          <m:sub>
            <m:r>
              <m:t>c</m:t>
            </m:r>
          </m:sub>
          <m:sup>
            <m:r>
              <m:t>2015</m:t>
            </m:r>
          </m:sup>
        </m:sSubSup>
      </m:oMath>
      <w:r>
        <w:rPr>
          <w:rFonts w:ascii="Times New Roman" w:hAnsi="Times New Roman"/>
          <w:sz w:val="24"/>
        </w:rPr>
        <w:t xml:space="preserve"> </w:t>
      </w:r>
      <w:r>
        <w:rPr>
          <w:rFonts w:ascii="Times New Roman" w:hAnsi="Times New Roman"/>
          <w:sz w:val="24"/>
        </w:rPr>
        <w:t xml:space="preserve">– Hotmaps 2015 benchmark demand for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(TWh)</w:t>
      </w:r>
    </w:p>
    <w:p>
      <w:pPr>
        <w:pStyle w:val="BodyText"/>
      </w:pPr>
      <m:oMath>
        <m:sSup>
          <m:e>
            <m:r>
              <m:t>K</m:t>
            </m:r>
          </m:e>
          <m:sup>
            <m:r>
              <m:rPr>
                <m:sty m:val="p"/>
              </m:rPr>
              <m:t>T</m:t>
            </m:r>
          </m:sup>
        </m:sSup>
      </m:oMath>
      <w:r>
        <w:rPr>
          <w:rFonts w:ascii="Times New Roman" w:hAnsi="Times New Roman"/>
          <w:sz w:val="24"/>
        </w:rPr>
        <w:t xml:space="preserve"> </w:t>
      </w:r>
      <w:r>
        <w:rPr>
          <w:rFonts w:ascii="Times New Roman" w:hAnsi="Times New Roman"/>
          <w:sz w:val="24"/>
        </w:rPr>
        <w:t xml:space="preserve">– Hydrogen-ready peaking-turbine overnight capital cost (</w:t>
      </w:r>
      <w:r>
        <w:t xml:space="preserve">=</w:t>
      </w:r>
      <w:r>
        <w:rPr>
          <w:rFonts w:ascii="Times New Roman" w:hAnsi="Times New Roman"/>
          <w:sz w:val="24"/>
        </w:rPr>
        <w:t xml:space="preserve"> </w:t>
      </w:r>
      <w:r>
        <w:rPr>
          <w:rFonts w:ascii="Times New Roman" w:hAnsi="Times New Roman"/>
          <w:sz w:val="24"/>
        </w:rPr>
        <w:t xml:space="preserve">€600/kW; conventional open-cycle gas</w:t>
      </w:r>
      <w:r>
        <w:rPr>
          <w:rFonts w:ascii="Times New Roman" w:hAnsi="Times New Roman"/>
          <w:sz w:val="24"/>
        </w:rPr>
        <w:t xml:space="preserve"> </w:t>
      </w:r>
      <w:r>
        <w:t xml:space="preserve">=</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€450/kW). 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annualises this cost by applying</w:t>
      </w:r>
      <w:r>
        <w:rPr>
          <w:rFonts w:ascii="Times New Roman" w:hAnsi="Times New Roman"/>
          <w:sz w:val="24"/>
        </w:rPr>
        <w:t xml:space="preserve"> </w:t>
      </w:r>
      <m:oMath>
        <m:sSub>
          <m:e>
            <m:r>
              <m:rPr>
                <m:sty m:val="p"/>
              </m:rPr>
              <m:t>CRF</m:t>
            </m:r>
          </m:e>
          <m:sub>
            <m:r>
              <m:t>c</m:t>
            </m:r>
          </m:sub>
        </m:sSub>
        <m:r>
          <m:rPr>
            <m:sty m:val="p"/>
          </m:rPr>
          <m:t>+</m:t>
        </m:r>
        <m:r>
          <m:t>f</m:t>
        </m:r>
      </m:oMath>
    </w:p>
    <w:p>
      <w:pPr>
        <w:pStyle w:val="BodyText"/>
      </w:pPr>
      <m:oMath>
        <m:sSubSup>
          <m:e>
            <m:r>
              <m:t>K</m:t>
            </m:r>
          </m:e>
          <m:sub>
            <m:r>
              <m:t>c</m:t>
            </m:r>
          </m:sub>
          <m:sup>
            <m:r>
              <m:rPr>
                <m:sty m:val="p"/>
              </m:rPr>
              <m:t>pk</m:t>
            </m:r>
          </m:sup>
        </m:sSubSup>
      </m:oMath>
      <w:r>
        <w:rPr>
          <w:rFonts w:ascii="Times New Roman" w:hAnsi="Times New Roman"/>
          <w:sz w:val="24"/>
        </w:rPr>
        <w:t xml:space="preserve"> </w:t>
      </w:r>
      <w:r>
        <w:rPr>
          <w:rFonts w:ascii="Times New Roman" w:hAnsi="Times New Roman"/>
          <w:sz w:val="24"/>
        </w:rPr>
        <w:t xml:space="preserve">– Firm peaking-fleet capacity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(GW)</w:t>
      </w:r>
    </w:p>
    <w:p>
      <w:pPr>
        <w:pStyle w:val="BodyText"/>
      </w:pPr>
      <m:oMath>
        <m:r>
          <m:t>N</m:t>
        </m:r>
      </m:oMath>
      <w:r>
        <w:rPr>
          <w:rFonts w:ascii="Times New Roman" w:hAnsi="Times New Roman"/>
          <w:sz w:val="24"/>
        </w:rPr>
        <w:t xml:space="preserve"> </w:t>
      </w:r>
      <w:r>
        <w:rPr>
          <w:rFonts w:ascii="Times New Roman" w:hAnsi="Times New Roman"/>
          <w:sz w:val="24"/>
        </w:rPr>
        <w:t xml:space="preserve">– Monte Carlo / Saltelli sample size</w:t>
      </w:r>
    </w:p>
    <w:p>
      <w:pPr>
        <w:pStyle w:val="BodyText"/>
      </w:pPr>
      <m:oMath>
        <m:sSubSup>
          <m:e>
            <m:r>
              <m:t>p</m:t>
            </m:r>
          </m:e>
          <m:sub>
            <m:r>
              <m:t>c</m:t>
            </m:r>
          </m:sub>
          <m:sup>
            <m:r>
              <m:rPr>
                <m:sty m:val="p"/>
              </m:rPr>
              <m:t>gas</m:t>
            </m:r>
          </m:sup>
        </m:sSubSup>
      </m:oMath>
      <w:r>
        <w:rPr>
          <w:rFonts w:ascii="Times New Roman" w:hAnsi="Times New Roman"/>
          <w:sz w:val="24"/>
        </w:rPr>
        <w:t xml:space="preserve"> </w:t>
      </w:r>
      <w:r>
        <w:rPr>
          <w:rFonts w:ascii="Times New Roman" w:hAnsi="Times New Roman"/>
          <w:sz w:val="24"/>
        </w:rPr>
        <w:t xml:space="preserve">– Retail gas price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w:t>
      </w:r>
    </w:p>
    <w:p>
      <w:pPr>
        <w:pStyle w:val="BodyText"/>
      </w:pPr>
      <m:oMath>
        <m:sSup>
          <m:e>
            <m:r>
              <m:t>p</m:t>
            </m:r>
          </m:e>
          <m:sup>
            <m:r>
              <m:rPr>
                <m:sty m:val="p"/>
              </m:rPr>
              <m:t>gas,w</m:t>
            </m:r>
          </m:sup>
        </m:sSup>
      </m:oMath>
      <w:r>
        <w:rPr>
          <w:rFonts w:ascii="Times New Roman" w:hAnsi="Times New Roman"/>
          <w:sz w:val="24"/>
        </w:rPr>
        <w:t xml:space="preserve"> </w:t>
      </w:r>
      <w:r>
        <w:rPr>
          <w:rFonts w:ascii="Times New Roman" w:hAnsi="Times New Roman"/>
          <w:sz w:val="24"/>
        </w:rPr>
        <w:t xml:space="preserve">– Winter (backbone) gas price (€/MWh)</w:t>
      </w:r>
    </w:p>
    <w:p>
      <w:pPr>
        <w:pStyle w:val="BodyText"/>
      </w:pPr>
      <m:oMath>
        <m:sSubSup>
          <m:e>
            <m:r>
              <m:t>p</m:t>
            </m:r>
          </m:e>
          <m:sub>
            <m:r>
              <m:t>c</m:t>
            </m:r>
          </m:sub>
          <m:sup>
            <m:sSub>
              <m:e>
                <m:r>
                  <m:rPr>
                    <m:sty m:val="p"/>
                  </m:rPr>
                  <m:t>H</m:t>
                </m:r>
              </m:e>
              <m:sub>
                <m:r>
                  <m:rPr>
                    <m:sty m:val="p"/>
                  </m:rPr>
                  <m:t>2</m:t>
                </m:r>
              </m:sub>
            </m:sSub>
          </m:sup>
        </m:sSubSup>
      </m:oMath>
      <w:r>
        <w:rPr>
          <w:rFonts w:ascii="Times New Roman" w:hAnsi="Times New Roman"/>
          <w:sz w:val="24"/>
        </w:rPr>
        <w:t xml:space="preserve"> </w:t>
      </w:r>
      <w:r>
        <w:rPr>
          <w:rFonts w:ascii="Times New Roman" w:hAnsi="Times New Roman"/>
          <w:sz w:val="24"/>
        </w:rPr>
        <w:t xml:space="preserve">– Delivered hydrogen price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w:t>
      </w:r>
    </w:p>
    <w:p>
      <w:pPr>
        <w:pStyle w:val="BodyText"/>
      </w:pPr>
      <m:oMath>
        <m:sSubSup>
          <m:e>
            <m:r>
              <m:t>p</m:t>
            </m:r>
          </m:e>
          <m:sub>
            <m:r>
              <m:t>c</m:t>
            </m:r>
          </m:sub>
          <m:sup>
            <m:sSub>
              <m:e>
                <m:r>
                  <m:rPr>
                    <m:sty m:val="p"/>
                  </m:rPr>
                  <m:t>H</m:t>
                </m:r>
              </m:e>
              <m:sub>
                <m:r>
                  <m:rPr>
                    <m:sty m:val="p"/>
                  </m:rPr>
                  <m:t>2</m:t>
                </m:r>
              </m:sub>
            </m:sSub>
            <m:r>
              <m:rPr>
                <m:sty m:val="p"/>
              </m:rPr>
              <m:t>,bb</m:t>
            </m:r>
          </m:sup>
        </m:sSubSup>
      </m:oMath>
      <w:r>
        <w:rPr>
          <w:rFonts w:ascii="Times New Roman" w:hAnsi="Times New Roman"/>
          <w:sz w:val="24"/>
        </w:rPr>
        <w:t xml:space="preserve"> </w:t>
      </w:r>
      <w:r>
        <w:rPr>
          <w:rFonts w:ascii="Times New Roman" w:hAnsi="Times New Roman"/>
          <w:sz w:val="24"/>
        </w:rPr>
        <w:t xml:space="preserve">– Backbone hydrogen price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w:t>
      </w:r>
    </w:p>
    <w:p>
      <w:pPr>
        <w:pStyle w:val="BodyText"/>
      </w:pPr>
      <m:oMath>
        <m:sSub>
          <m:e>
            <m:r>
              <m:rPr>
                <m:sty m:val="p"/>
              </m:rPr>
              <m:t>Pop</m:t>
            </m:r>
          </m:e>
          <m:sub>
            <m:r>
              <m:t>c</m:t>
            </m:r>
            <m:r>
              <m:rPr>
                <m:sty m:val="p"/>
              </m:rPr>
              <m:t>,</m:t>
            </m:r>
            <m:r>
              <m:t>t</m:t>
            </m:r>
          </m:sub>
        </m:sSub>
      </m:oMath>
      <w:r>
        <w:rPr>
          <w:rFonts w:ascii="Times New Roman" w:hAnsi="Times New Roman"/>
          <w:sz w:val="24"/>
        </w:rPr>
        <w:t xml:space="preserve"> </w:t>
      </w:r>
      <w:r>
        <w:rPr>
          <w:rFonts w:ascii="Times New Roman" w:hAnsi="Times New Roman"/>
          <w:sz w:val="24"/>
        </w:rPr>
        <w:t xml:space="preserve">– Projected population of country</w:t>
      </w:r>
      <w:r>
        <w:rPr>
          <w:rFonts w:ascii="Times New Roman" w:hAnsi="Times New Roman"/>
          <w:sz w:val="24"/>
        </w:rPr>
        <w:t xml:space="preserve"> </w:t>
      </w:r>
      <m:oMath>
        <m:r>
          <m:t>c</m:t>
        </m:r>
      </m:oMath>
      <w:r>
        <w:rPr>
          <w:rFonts w:ascii="Times New Roman" w:hAnsi="Times New Roman"/>
          <w:sz w:val="24"/>
        </w:rPr>
        <w:t xml:space="preserve">, year</w:t>
      </w:r>
      <w:r>
        <w:rPr>
          <w:rFonts w:ascii="Times New Roman" w:hAnsi="Times New Roman"/>
          <w:sz w:val="24"/>
        </w:rPr>
        <w:t xml:space="preserve"> </w:t>
      </w:r>
      <m:oMath>
        <m:r>
          <m:t>t</m:t>
        </m:r>
      </m:oMath>
    </w:p>
    <w:p>
      <w:pPr>
        <w:pStyle w:val="BodyText"/>
      </w:pPr>
      <m:oMath>
        <m:sSub>
          <m:e>
            <m:r>
              <m:t>r</m:t>
            </m:r>
          </m:e>
          <m:sub>
            <m:r>
              <m:t>c</m:t>
            </m:r>
            <m:r>
              <m:rPr>
                <m:sty m:val="p"/>
              </m:rPr>
              <m:t>,</m:t>
            </m:r>
            <m:r>
              <m:t>s</m:t>
            </m:r>
          </m:sub>
        </m:sSub>
      </m:oMath>
      <w:r>
        <w:rPr>
          <w:rFonts w:ascii="Times New Roman" w:hAnsi="Times New Roman"/>
          <w:sz w:val="24"/>
        </w:rPr>
        <w:t xml:space="preserve"> </w:t>
      </w:r>
      <w:r>
        <w:rPr>
          <w:rFonts w:ascii="Times New Roman" w:hAnsi="Times New Roman"/>
          <w:sz w:val="24"/>
        </w:rPr>
        <w:t xml:space="preserve">– Per-country, per-scenario envelope-renovation rate (%/yr)</w:t>
      </w:r>
    </w:p>
    <w:p>
      <w:pPr>
        <w:pStyle w:val="BodyText"/>
      </w:pPr>
      <m:oMath>
        <m:sSub>
          <m:e>
            <m:r>
              <m:t>r</m:t>
            </m:r>
          </m:e>
          <m:sub>
            <m:r>
              <m:t>c</m:t>
            </m:r>
          </m:sub>
        </m:sSub>
      </m:oMath>
      <w:r>
        <w:rPr>
          <w:rFonts w:ascii="Times New Roman" w:hAnsi="Times New Roman"/>
          <w:sz w:val="24"/>
        </w:rPr>
        <w:t xml:space="preserve"> </w:t>
      </w:r>
      <w:r>
        <w:rPr>
          <w:rFonts w:ascii="Times New Roman" w:hAnsi="Times New Roman"/>
          <w:sz w:val="24"/>
        </w:rPr>
        <w:t xml:space="preserve">– Country weighted-average cost of capital (WACC)</w:t>
      </w:r>
    </w:p>
    <w:p>
      <w:pPr>
        <w:pStyle w:val="BodyText"/>
      </w:pPr>
      <m:oMath>
        <m:sSub>
          <m:e>
            <m:r>
              <m:t>R</m:t>
            </m:r>
          </m:e>
          <m:sub>
            <m:r>
              <m:t>c</m:t>
            </m:r>
          </m:sub>
        </m:sSub>
      </m:oMath>
      <w:r>
        <w:rPr>
          <w:rFonts w:ascii="Times New Roman" w:hAnsi="Times New Roman"/>
          <w:sz w:val="24"/>
        </w:rPr>
        <w:t xml:space="preserve"> </w:t>
      </w:r>
      <w:r>
        <w:rPr>
          <w:rFonts w:ascii="Times New Roman" w:hAnsi="Times New Roman"/>
          <w:sz w:val="24"/>
        </w:rPr>
        <w:t xml:space="preserve">– Capital recovery of the hydrogen peaker in country</w:t>
      </w:r>
      <w:r>
        <w:rPr>
          <w:rFonts w:ascii="Times New Roman" w:hAnsi="Times New Roman"/>
          <w:sz w:val="24"/>
        </w:rPr>
        <w:t xml:space="preserve"> </w:t>
      </w:r>
      <m:oMath>
        <m:r>
          <m:t>c</m:t>
        </m:r>
      </m:oMath>
      <w:r>
        <w:rPr>
          <w:rFonts w:ascii="Times New Roman" w:hAnsi="Times New Roman"/>
          <w:sz w:val="24"/>
        </w:rPr>
      </w:r>
      <w:r>
        <w:rPr>
          <w:rFonts w:ascii="Times New Roman" w:hAnsi="Times New Roman" w:cs="Times New Roman"/>
          <w:sz w:val="24"/>
        </w:rPr>
        <w:t xml:space="preserve">, its scarcity rent over its annualised capital-and-fixed-operating charge (dimensionless; 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w:t>
      </w:r>
    </w:p>
    <w:p>
      <w:pPr>
        <w:pStyle w:val="BodyText"/>
      </w:pPr>
      <m:oMath>
        <m:sSub>
          <m:e>
            <m:r>
              <m:rPr>
                <m:sty m:val="p"/>
              </m:rPr>
              <m:t>SCOP</m:t>
            </m:r>
          </m:e>
          <m:sub>
            <m:r>
              <m:t>c</m:t>
            </m:r>
          </m:sub>
        </m:sSub>
      </m:oMath>
      <w:r>
        <w:rPr>
          <w:rFonts w:ascii="Times New Roman" w:hAnsi="Times New Roman"/>
          <w:sz w:val="24"/>
        </w:rPr>
        <w:t xml:space="preserve"> </w:t>
      </w:r>
      <w:r>
        <w:rPr>
          <w:rFonts w:ascii="Times New Roman" w:hAnsi="Times New Roman"/>
          <w:sz w:val="24"/>
        </w:rPr>
        <w:t xml:space="preserve">– Seasonal coefficient of performance of the heat pump in country</w:t>
      </w:r>
      <w:r>
        <w:rPr>
          <w:rFonts w:ascii="Times New Roman" w:hAnsi="Times New Roman"/>
          <w:sz w:val="24"/>
        </w:rPr>
        <w:t xml:space="preserve"> </w:t>
      </w:r>
      <m:oMath>
        <m:r>
          <m:t>c</m:t>
        </m:r>
      </m:oMath>
    </w:p>
    <w:p>
      <w:pPr>
        <w:pStyle w:val="BodyText"/>
      </w:pPr>
      <m:oMath>
        <m:sSub>
          <m:e>
            <m:r>
              <m:t>S</m:t>
            </m:r>
          </m:e>
          <m:sub>
            <m:r>
              <m:t>T</m:t>
            </m:r>
          </m:sub>
        </m:sSub>
      </m:oMath>
      <w:r>
        <w:rPr>
          <w:rFonts w:ascii="Times New Roman" w:hAnsi="Times New Roman"/>
          <w:sz w:val="24"/>
        </w:rPr>
        <w:t xml:space="preserve"> </w:t>
      </w:r>
      <w:r>
        <w:rPr>
          <w:rFonts w:ascii="Times New Roman" w:hAnsi="Times New Roman"/>
          <w:sz w:val="24"/>
        </w:rPr>
        <w:t xml:space="preserve">– Sobol total-order sensitivity index</w:t>
      </w:r>
    </w:p>
    <w:p>
      <w:pPr>
        <w:pStyle w:val="BodyText"/>
      </w:pPr>
      <m:oMath>
        <m:r>
          <m:t>t</m:t>
        </m:r>
        <m:r>
          <m:rPr>
            <m:sty m:val="p"/>
          </m:rPr>
          <m:t xml:space="preserve">, </m:t>
        </m:r>
        <m:sSub>
          <m:e>
            <m:r>
              <m:t>t</m:t>
            </m:r>
          </m:e>
          <m:sub>
            <m:r>
              <m:t>0</m:t>
            </m:r>
          </m:sub>
        </m:sSub>
      </m:oMath>
      <w:r>
        <w:rPr>
          <w:rFonts w:ascii="Times New Roman" w:hAnsi="Times New Roman"/>
          <w:sz w:val="24"/>
        </w:rPr>
        <w:t xml:space="preserve"> </w:t>
      </w:r>
      <w:r>
        <w:rPr>
          <w:rFonts w:ascii="Times New Roman" w:hAnsi="Times New Roman"/>
          <w:sz w:val="24"/>
        </w:rPr>
        <w:t xml:space="preserve">– Projection year; base year (</w:t>
      </w:r>
      <m:oMath>
        <m:sSub>
          <m:e>
            <m:r>
              <m:t>t</m:t>
            </m:r>
          </m:e>
          <m:sub>
            <m:r>
              <m:t>0</m:t>
            </m:r>
          </m:sub>
        </m:sSub>
        <m:r>
          <m:rPr>
            <m:sty m:val="p"/>
          </m:rPr>
          <m:t>=</m:t>
        </m:r>
        <m:r>
          <m:t>2025</m:t>
        </m:r>
      </m:oMath>
      <w:r>
        <w:rPr>
          <w:rFonts w:ascii="Times New Roman" w:hAnsi="Times New Roman"/>
          <w:sz w:val="24"/>
        </w:rPr>
        <w:t xml:space="preserve">)</w:t>
      </w:r>
    </w:p>
    <w:p>
      <w:pPr>
        <w:pStyle w:val="BodyText"/>
      </w:pPr>
      <m:oMath>
        <m:sSub>
          <m:e>
            <m:r>
              <m:t>z</m:t>
            </m:r>
          </m:e>
          <m:sub>
            <m:r>
              <m:t>c</m:t>
            </m:r>
          </m:sub>
        </m:sSub>
        <m:r>
          <m:rPr>
            <m:sty m:val="p"/>
          </m:rPr>
          <m:t xml:space="preserve">, </m:t>
        </m:r>
        <m:sSub>
          <m:e>
            <m:r>
              <m:t>z</m:t>
            </m:r>
          </m:e>
          <m:sub>
            <m:r>
              <m:rPr>
                <m:sty m:val="p"/>
              </m:rPr>
              <m:t>EU</m:t>
            </m:r>
          </m:sub>
        </m:sSub>
        <m:r>
          <m:rPr>
            <m:sty m:val="p"/>
          </m:rPr>
          <m:t xml:space="preserve">, </m:t>
        </m:r>
        <m:sSubSup>
          <m:e>
            <m:r>
              <m:t>z</m:t>
            </m:r>
          </m:e>
          <m:sub>
            <m:r>
              <m:t>c</m:t>
            </m:r>
          </m:sub>
          <m:sup>
            <m:r>
              <m:rPr>
                <m:sty m:val="p"/>
              </m:rPr>
              <m:t>idio</m:t>
            </m:r>
          </m:sup>
        </m:sSubSup>
      </m:oMath>
      <w:r>
        <w:rPr>
          <w:rFonts w:ascii="Times New Roman" w:hAnsi="Times New Roman"/>
          <w:sz w:val="24"/>
        </w:rPr>
        <w:t xml:space="preserve"> </w:t>
      </w:r>
      <w:r>
        <w:rPr>
          <w:rFonts w:ascii="Times New Roman" w:hAnsi="Times New Roman"/>
          <w:sz w:val="24"/>
        </w:rPr>
        <w:t xml:space="preserve">– Standard-normal shocks (common and idiosyncratic) for sampling renovation rates</w:t>
      </w:r>
    </w:p>
    <w:p>
      <w:pPr>
        <w:pStyle w:val="BodyText"/>
      </w:pPr>
      <m:oMath>
        <m:sSub>
          <m:e>
            <m:r>
              <m:t>φ</m:t>
            </m:r>
          </m:e>
          <m:sub>
            <m:r>
              <m:t>y</m:t>
            </m:r>
          </m:sub>
        </m:sSub>
      </m:oMath>
      <w:r>
        <w:rPr>
          <w:rFonts w:ascii="Times New Roman" w:hAnsi="Times New Roman"/>
          <w:sz w:val="24"/>
        </w:rPr>
        <w:t xml:space="preserve"> </w:t>
      </w:r>
      <w:r>
        <w:rPr>
          <w:rFonts w:ascii="Times New Roman" w:hAnsi="Times New Roman"/>
          <w:sz w:val="24"/>
        </w:rPr>
        <w:t xml:space="preserve">– Carbon price (ETS2) in year</w:t>
      </w:r>
      <w:r>
        <w:rPr>
          <w:rFonts w:ascii="Times New Roman" w:hAnsi="Times New Roman"/>
          <w:sz w:val="24"/>
        </w:rPr>
        <w:t xml:space="preserve"> </w:t>
      </w:r>
      <m:oMath>
        <m:r>
          <m:t>y</m:t>
        </m:r>
      </m:oMath>
      <w:r>
        <w:rPr>
          <w:rFonts w:ascii="Times New Roman" w:hAnsi="Times New Roman"/>
          <w:sz w:val="24"/>
        </w:rPr>
        <w:t xml:space="preserve"> </w:t>
      </w:r>
      <w:r>
        <w:rPr>
          <w:rFonts w:ascii="Times New Roman" w:hAnsi="Times New Roman"/>
          <w:sz w:val="24"/>
        </w:rPr>
        <w:t xml:space="preserve">(€/tCO</w:t>
      </w:r>
      <w:r>
        <w:rPr>
          <w:vertAlign w:val="subscript"/>
        </w:rPr>
        <w:t xml:space="preserve">2</w:t>
      </w:r>
      <w:r>
        <w:rPr>
          <w:rFonts w:ascii="Times New Roman" w:hAnsi="Times New Roman"/>
          <w:sz w:val="24"/>
        </w:rPr>
        <w:t xml:space="preserve">)</w:t>
      </w:r>
    </w:p>
    <w:p>
      <w:pPr>
        <w:pStyle w:val="BodyText"/>
      </w:pPr>
      <m:oMath>
        <m:sSub>
          <m:e>
            <m:r>
              <m:t>η</m:t>
            </m:r>
          </m:e>
          <m:sub>
            <m:r>
              <m:rPr>
                <m:sty m:val="p"/>
              </m:rPr>
              <m:t>g</m:t>
            </m:r>
          </m:sub>
        </m:sSub>
        <m:r>
          <m:rPr>
            <m:sty m:val="p"/>
          </m:rPr>
          <m:t xml:space="preserve">, </m:t>
        </m:r>
        <m:sSub>
          <m:e>
            <m:r>
              <m:t>η</m:t>
            </m:r>
          </m:e>
          <m:sub>
            <m:r>
              <m:rPr>
                <m:sty m:val="p"/>
              </m:rPr>
              <m:t>h</m:t>
            </m:r>
          </m:sub>
        </m:sSub>
      </m:oMath>
      <w:r>
        <w:rPr>
          <w:rFonts w:ascii="Times New Roman" w:hAnsi="Times New Roman"/>
          <w:sz w:val="24"/>
        </w:rPr>
        <w:t xml:space="preserve"> </w:t>
      </w:r>
      <w:r>
        <w:rPr>
          <w:rFonts w:ascii="Times New Roman" w:hAnsi="Times New Roman"/>
          <w:sz w:val="24"/>
        </w:rPr>
        <w:t xml:space="preserve">– Gas-boiler (0.92) and hydrogen-boiler (0.90) efficiencies</w:t>
      </w:r>
    </w:p>
    <w:p>
      <w:pPr>
        <w:pStyle w:val="BodyText"/>
      </w:pPr>
      <m:oMath>
        <m:sSub>
          <m:e>
            <m:r>
              <m:t>η</m:t>
            </m:r>
          </m:e>
          <m:sub>
            <m:r>
              <m:rPr>
                <m:sty m:val="p"/>
              </m:rPr>
              <m:t>OCGT</m:t>
            </m:r>
          </m:sub>
        </m:sSub>
        <m:r>
          <m:rPr>
            <m:sty m:val="p"/>
          </m:rPr>
          <m:t xml:space="preserve">, </m:t>
        </m:r>
        <m:sSub>
          <m:e>
            <m:r>
              <m:t>η</m:t>
            </m:r>
          </m:e>
          <m:sub>
            <m:r>
              <m:rPr>
                <m:sty m:val="p"/>
              </m:rPr>
              <m:t>T</m:t>
            </m:r>
          </m:sub>
        </m:sSub>
      </m:oMath>
      <w:r>
        <w:rPr>
          <w:rFonts w:ascii="Times New Roman" w:hAnsi="Times New Roman"/>
          <w:sz w:val="24"/>
        </w:rPr>
        <w:t xml:space="preserve"> </w:t>
      </w:r>
      <w:r>
        <w:rPr>
          <w:rFonts w:ascii="Times New Roman" w:hAnsi="Times New Roman"/>
          <w:sz w:val="24"/>
        </w:rPr>
        <w:t xml:space="preserve">– Open-cycle gas turbine and hydrogen turbine electrical efficiencies. The headline winter-peak merit order holds both turbines at an efficiency of</w:t>
      </w:r>
      <w:r>
        <w:rPr>
          <w:rFonts w:ascii="Times New Roman" w:hAnsi="Times New Roman"/>
          <w:sz w:val="24"/>
        </w:rPr>
        <w:t xml:space="preserve"> </w:t>
      </w:r>
      <w:r>
        <w:t xml:space="preserve">0.40</w:t>
      </w:r>
      <w:r>
        <w:rPr>
          <w:rFonts w:ascii="Times New Roman" w:hAnsi="Times New Roman"/>
          <w:sz w:val="24"/>
        </w:rPr>
        <w:t xml:space="preserve">. The capital-recovery layer uses evolving efficiencies:</w:t>
      </w:r>
      <w:r>
        <w:rPr>
          <w:rFonts w:ascii="Times New Roman" w:hAnsi="Times New Roman"/>
          <w:sz w:val="24"/>
        </w:rPr>
        <w:t xml:space="preserve"> </w:t>
      </w:r>
      <w:r>
        <w:t xml:space="preserve">0.42</w:t>
      </w:r>
      <w:r>
        <w:rPr>
          <w:rFonts w:ascii="Times New Roman" w:hAnsi="Times New Roman"/>
          <w:sz w:val="24"/>
        </w:rPr>
        <w:t xml:space="preserve"> </w:t>
      </w:r>
      <w:r>
        <w:rPr>
          <w:rFonts w:ascii="Times New Roman" w:hAnsi="Times New Roman"/>
          <w:sz w:val="24"/>
        </w:rPr>
        <w:t xml:space="preserve">for gas and</w:t>
      </w:r>
      <w:r>
        <w:rPr>
          <w:rFonts w:ascii="Times New Roman" w:hAnsi="Times New Roman"/>
          <w:sz w:val="24"/>
        </w:rPr>
        <w:t xml:space="preserve"> </w:t>
      </w:r>
      <w:r>
        <w:t xml:space="preserve">0.44</w:t>
      </w:r>
      <w:r>
        <w:rPr>
          <w:rFonts w:ascii="Times New Roman" w:hAnsi="Times New Roman"/>
          <w:sz w:val="24"/>
        </w:rPr>
        <w:t xml:space="preserve"> </w:t>
      </w:r>
      <w:r>
        <w:rPr>
          <w:rFonts w:ascii="Times New Roman" w:hAnsi="Times New Roman"/>
          <w:sz w:val="24"/>
        </w:rPr>
        <w:t xml:space="preserve">for hydrogen by 2050, rising to</w:t>
      </w:r>
      <w:r>
        <w:rPr>
          <w:rFonts w:ascii="Times New Roman" w:hAnsi="Times New Roman"/>
          <w:sz w:val="24"/>
        </w:rPr>
        <w:t xml:space="preserve"> </w:t>
      </w:r>
      <w:r>
        <w:t xml:space="preserve">0.48</w:t>
      </w:r>
      <w:r>
        <w:rPr>
          <w:rFonts w:ascii="Times New Roman" w:hAnsi="Times New Roman"/>
          <w:sz w:val="24"/>
        </w:rPr>
        <w:t xml:space="preserve"> </w:t>
      </w:r>
      <w:r>
        <w:rPr>
          <w:rFonts w:ascii="Times New Roman" w:hAnsi="Times New Roman"/>
          <w:sz w:val="24"/>
        </w:rPr>
        <w:t xml:space="preserve">for hydrogen under H2 Push, which assumes an advanced simple-cycle machine</w:t>
      </w:r>
    </w:p>
    <w:p>
      <w:pPr>
        <w:pStyle w:val="BodyText"/>
      </w:pPr>
      <m:oMath>
        <m:sSub>
          <m:e>
            <m:r>
              <m:t>μ</m:t>
            </m:r>
          </m:e>
          <m:sub>
            <m:r>
              <m:t>c</m:t>
            </m:r>
            <m:r>
              <m:rPr>
                <m:sty m:val="p"/>
              </m:rPr>
              <m:t>,</m:t>
            </m:r>
            <m:r>
              <m:t>s</m:t>
            </m:r>
          </m:sub>
        </m:sSub>
        <m:r>
          <m:rPr>
            <m:sty m:val="p"/>
          </m:rPr>
          <m:t xml:space="preserve">, </m:t>
        </m:r>
        <m:sSub>
          <m:e>
            <m:r>
              <m:t>σ</m:t>
            </m:r>
          </m:e>
          <m:sub>
            <m:r>
              <m:t>c</m:t>
            </m:r>
            <m:r>
              <m:rPr>
                <m:sty m:val="p"/>
              </m:rPr>
              <m:t>,</m:t>
            </m:r>
            <m:r>
              <m:t>s</m:t>
            </m:r>
          </m:sub>
        </m:sSub>
      </m:oMath>
      <w:r>
        <w:rPr>
          <w:rFonts w:ascii="Times New Roman" w:hAnsi="Times New Roman"/>
          <w:sz w:val="24"/>
        </w:rPr>
        <w:t xml:space="preserve"> </w:t>
      </w:r>
      <w:r>
        <w:rPr>
          <w:rFonts w:ascii="Times New Roman" w:hAnsi="Times New Roman"/>
          <w:sz w:val="24"/>
        </w:rPr>
        <w:t xml:space="preserve">– Mean and standard deviation of the sampled renovation rate</w:t>
      </w:r>
      <w:r>
        <w:rPr>
          <w:rFonts w:ascii="Times New Roman" w:hAnsi="Times New Roman"/>
          <w:sz w:val="24"/>
        </w:rPr>
        <w:t xml:space="preserve"> </w:t>
      </w:r>
      <m:oMath>
        <m:sSub>
          <m:e>
            <m:r>
              <m:t>r</m:t>
            </m:r>
          </m:e>
          <m:sub>
            <m:r>
              <m:t>c</m:t>
            </m:r>
            <m:r>
              <m:rPr>
                <m:sty m:val="p"/>
              </m:rPr>
              <m:t>,</m:t>
            </m:r>
            <m:r>
              <m:t>s</m:t>
            </m:r>
          </m:sub>
        </m:sSub>
      </m:oMath>
    </w:p>
    <w:p>
      <w:pPr>
        <w:pStyle w:val="BodyText"/>
      </w:pPr>
      <m:oMath>
        <m:sSubSup>
          <m:e>
            <m:r>
              <m:t>π</m:t>
            </m:r>
          </m:e>
          <m:sub>
            <m:r>
              <m:t>c</m:t>
            </m:r>
          </m:sub>
          <m:sup>
            <m:r>
              <m:rPr>
                <m:sty m:val="p"/>
              </m:rPr>
              <m:t>peak</m:t>
            </m:r>
          </m:sup>
        </m:sSubSup>
      </m:oMath>
      <w:r>
        <w:rPr>
          <w:rFonts w:ascii="Times New Roman" w:hAnsi="Times New Roman"/>
          <w:sz w:val="24"/>
        </w:rPr>
        <w:t xml:space="preserve"> </w:t>
      </w:r>
      <w:r>
        <w:rPr>
          <w:rFonts w:ascii="Times New Roman" w:hAnsi="Times New Roman"/>
          <w:sz w:val="24"/>
        </w:rPr>
        <w:t xml:space="preserve">– Derived scarcity (peak) electricity price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(€/MWh-e)</w:t>
      </w:r>
    </w:p>
    <w:p>
      <w:pPr>
        <w:pStyle w:val="BodyText"/>
      </w:pPr>
      <m:oMath>
        <m:sSup>
          <m:e>
            <m:r>
              <m:t>π</m:t>
            </m:r>
          </m:e>
          <m:sup>
            <m:r>
              <m:rPr>
                <m:sty m:val="p"/>
              </m:rPr>
              <m:t>s</m:t>
            </m:r>
          </m:sup>
        </m:sSup>
      </m:oMath>
      <w:r>
        <w:rPr>
          <w:rFonts w:ascii="Times New Roman" w:hAnsi="Times New Roman"/>
          <w:sz w:val="24"/>
        </w:rPr>
        <w:t xml:space="preserve"> </w:t>
      </w:r>
      <w:r>
        <w:rPr>
          <w:rFonts w:ascii="Times New Roman" w:hAnsi="Times New Roman"/>
          <w:sz w:val="24"/>
        </w:rPr>
        <w:t xml:space="preserve">– Scarcity margin (low/central/high</w:t>
      </w:r>
      <w:r>
        <w:rPr>
          <w:rFonts w:ascii="Times New Roman" w:hAnsi="Times New Roman"/>
          <w:sz w:val="24"/>
        </w:rPr>
        <w:t xml:space="preserve"> </w:t>
      </w:r>
      <w:r>
        <w:t xml:space="preserve">{30,60,120}</w:t>
      </w:r>
      <w:r>
        <w:rPr>
          <w:rFonts w:ascii="Times New Roman" w:hAnsi="Times New Roman"/>
          <w:sz w:val="24"/>
        </w:rPr>
        <w:t xml:space="preserve"> </w:t>
      </w:r>
      <w:r>
        <w:rPr>
          <w:rFonts w:ascii="Times New Roman" w:hAnsi="Times New Roman"/>
          <w:sz w:val="24"/>
        </w:rPr>
        <w:t xml:space="preserve">€/MWh; the sensitivity grid adds 90)</w:t>
      </w:r>
    </w:p>
    <w:p>
      <w:pPr>
        <w:pStyle w:val="BodyText"/>
      </w:pPr>
      <w:r>
        <w:t xml:space="preserve">ρ</w:t>
      </w:r>
      <w:r>
        <w:rPr>
          <w:rFonts w:ascii="Times New Roman" w:hAnsi="Times New Roman"/>
          <w:sz w:val="24"/>
        </w:rPr>
        <w:t xml:space="preserve"> </w:t>
      </w:r>
      <w:r>
        <w:rPr>
          <w:rFonts w:ascii="Times New Roman" w:hAnsi="Times New Roman"/>
          <w:sz w:val="24"/>
        </w:rPr>
        <w:t xml:space="preserve">– Cross-country shock correlation: renovation rate (</w:t>
      </w:r>
      <w:r>
        <w:t xml:space="preserve">=0.5</w:t>
      </w:r>
      <w:r>
        <w:rPr>
          <w:rFonts w:ascii="Times New Roman" w:hAnsi="Times New Roman"/>
          <w:sz w:val="24"/>
        </w:rPr>
        <w:t xml:space="preserve">), fuel prices (</w:t>
      </w:r>
      <w:r>
        <w:t xml:space="preserve">=0.75</w:t>
      </w:r>
      <w:r>
        <w:rPr>
          <w:rFonts w:ascii="Times New Roman" w:hAnsi="Times New Roman"/>
          <w:sz w:val="24"/>
        </w:rPr>
        <w:t xml:space="preserve">); all other sampled parameters are EU-wide scalars, i.e.</w:t>
      </w:r>
      <w:r>
        <w:rPr>
          <w:rFonts w:ascii="Times New Roman" w:hAnsi="Times New Roman"/>
          <w:sz w:val="24"/>
        </w:rPr>
        <w:t xml:space="preserve"> </w:t>
      </w:r>
      <w:r>
        <w:t xml:space="preserve">ρ=1</w:t>
      </w:r>
      <w:r>
        <w:rPr>
          <w:rFonts w:ascii="Times New Roman" w:hAnsi="Times New Roman"/>
          <w:sz w:val="24"/>
        </w:rPr>
        <w:t xml:space="preserve"> </w:t>
      </w:r>
      <w:r>
        <w:rPr>
          <w:rFonts w:ascii="Times New Roman" w:hAnsi="Times New Roman"/>
          <w:sz w:val="24"/>
        </w:rPr>
        <w:t xml:space="preserve">implicitly</w:t>
      </w:r>
    </w:p>
    <w:p>
      <w:pPr>
        <w:pStyle w:val="BodyText"/>
      </w:pPr>
      <m:oMath>
        <m:sSubSup>
          <m:e>
            <m:r>
              <m:t>a</m:t>
            </m:r>
          </m:e>
          <m:sub>
            <m:r>
              <m:t>c</m:t>
            </m:r>
          </m:sub>
          <m:sup>
            <m:sSub>
              <m:e>
                <m:r>
                  <m:rPr>
                    <m:sty m:val="p"/>
                  </m:rPr>
                  <m:t>H</m:t>
                </m:r>
              </m:e>
              <m:sub>
                <m:r>
                  <m:rPr>
                    <m:sty m:val="p"/>
                  </m:rPr>
                  <m:t>2</m:t>
                </m:r>
              </m:sub>
            </m:sSub>
            <m:r>
              <m:rPr>
                <m:sty m:val="p"/>
              </m:rPr>
              <m:t>,dist</m:t>
            </m:r>
          </m:sup>
        </m:sSubSup>
      </m:oMath>
      <w:r>
        <w:rPr>
          <w:rFonts w:ascii="Times New Roman" w:hAnsi="Times New Roman"/>
          <w:sz w:val="24"/>
        </w:rPr>
        <w:t xml:space="preserve"> </w:t>
      </w:r>
      <w:r>
        <w:rPr>
          <w:rFonts w:ascii="Times New Roman" w:hAnsi="Times New Roman"/>
          <w:sz w:val="24"/>
        </w:rPr>
        <w:t xml:space="preserve">– Hydrogen last-mile distribution adder in country</w:t>
      </w:r>
      <w:r>
        <w:rPr>
          <w:rFonts w:ascii="Times New Roman" w:hAnsi="Times New Roman"/>
          <w:sz w:val="24"/>
        </w:rPr>
        <w:t xml:space="preserve"> </w:t>
      </w:r>
      <m:oMath>
        <m:r>
          <m:t>c</m:t>
        </m:r>
      </m:oMath>
      <w:r>
        <w:rPr>
          <w:rFonts w:ascii="Times New Roman" w:hAnsi="Times New Roman"/>
          <w:sz w:val="24"/>
        </w:rPr>
        <w:t xml:space="preserve">, charged in the symmetric accounting (median €13.4/MWh)</w:t>
      </w:r>
    </w:p>
    <w:p>
      <w:pPr>
        <w:pStyle w:val="BodyText"/>
      </w:pPr>
      <m:oMath>
        <m:sSub>
          <m:e>
            <m:r>
              <m:t>σ</m:t>
            </m:r>
          </m:e>
          <m:sub>
            <m:r>
              <m:t>c</m:t>
            </m:r>
          </m:sub>
        </m:sSub>
      </m:oMath>
      <w:r>
        <w:rPr>
          <w:rFonts w:ascii="Times New Roman" w:hAnsi="Times New Roman"/>
          <w:sz w:val="24"/>
        </w:rPr>
        <w:t xml:space="preserve"> </w:t>
      </w:r>
      <w:r>
        <w:rPr>
          <w:rFonts w:ascii="Times New Roman" w:hAnsi="Times New Roman"/>
          <w:sz w:val="24"/>
        </w:rPr>
        <w:t xml:space="preserve">– Seasonal hydrogen-storage adder, heat side (</w:t>
      </w:r>
      <w:r>
        <w:t xml:space="preserve">≈</w:t>
      </w:r>
      <w:r>
        <w:rPr>
          <w:rFonts w:ascii="Times New Roman" w:hAnsi="Times New Roman"/>
          <w:sz w:val="24"/>
        </w:rPr>
        <w:t xml:space="preserve">€50–100/MWh-heat)</w:t>
      </w:r>
    </w:p>
    <w:p>
      <w:pPr>
        <w:pStyle w:val="BodyText"/>
      </w:pPr>
      <m:oMath>
        <m:sSubSup>
          <m:e>
            <m:r>
              <m:t>σ</m:t>
            </m:r>
          </m:e>
          <m:sub>
            <m:r>
              <m:t>c</m:t>
            </m:r>
          </m:sub>
          <m:sup>
            <m:r>
              <m:t>e</m:t>
            </m:r>
          </m:sup>
        </m:sSubSup>
      </m:oMath>
      <w:r>
        <w:rPr>
          <w:rFonts w:ascii="Times New Roman" w:hAnsi="Times New Roman"/>
          <w:sz w:val="24"/>
        </w:rPr>
        <w:t xml:space="preserve"> </w:t>
      </w:r>
      <w:r>
        <w:rPr>
          <w:rFonts w:ascii="Times New Roman" w:hAnsi="Times New Roman"/>
          <w:sz w:val="24"/>
        </w:rPr>
        <w:t xml:space="preserve">– Seasonal hydrogen-storage adder, electricity side (€/MWh-e)</w:t>
      </w:r>
    </w:p>
    <w:p>
      <w:pPr>
        <w:pStyle w:val="BodyText"/>
      </w:pPr>
      <m:oMath>
        <m:sSubSup>
          <m:e>
            <m:r>
              <m:rPr>
                <m:sty m:val="p"/>
              </m:rPr>
              <m:t>Δ</m:t>
            </m:r>
          </m:e>
          <m:sub>
            <m:r>
              <m:t>c</m:t>
            </m:r>
          </m:sub>
          <m:sup>
            <m:r>
              <m:rPr>
                <m:sty m:val="p"/>
              </m:rPr>
              <m:t>VM</m:t>
            </m:r>
          </m:sup>
        </m:sSubSup>
      </m:oMath>
      <w:r>
        <w:rPr>
          <w:rFonts w:ascii="Times New Roman" w:hAnsi="Times New Roman"/>
          <w:sz w:val="24"/>
        </w:rPr>
        <w:t xml:space="preserve"> </w:t>
      </w:r>
      <w:r>
        <w:rPr>
          <w:rFonts w:ascii="Times New Roman" w:hAnsi="Times New Roman"/>
          <w:sz w:val="24"/>
        </w:rPr>
        <w:t xml:space="preserve">– Vintage-matched deviation of the bottom-up backcast from the Hotmaps 2015 benchmark in country</w:t>
      </w:r>
      <w:r>
        <w:rPr>
          <w:rFonts w:ascii="Times New Roman" w:hAnsi="Times New Roman"/>
          <w:sz w:val="24"/>
        </w:rPr>
        <w:t xml:space="preserve"> </w:t>
      </w:r>
      <m:oMath>
        <m:r>
          <m:t>c</m:t>
        </m:r>
      </m:oMath>
    </w:p>
    <w:p>
      <w:pPr>
        <w:pStyle w:val="BodyText"/>
      </w:pPr>
      <m:oMath>
        <m:sSub>
          <m:e>
            <m:r>
              <m:rPr>
                <m:sty m:val="p"/>
              </m:rPr>
              <m:t>Φ</m:t>
            </m:r>
          </m:e>
          <m:sub>
            <m:r>
              <m:rPr>
                <m:sty m:val="p"/>
              </m:rPr>
              <m:t>cap</m:t>
            </m:r>
          </m:sub>
        </m:sSub>
        <m:r>
          <m:rPr>
            <m:sty m:val="p"/>
          </m:rPr>
          <m:t xml:space="preserve">, </m:t>
        </m:r>
        <m:sSub>
          <m:e>
            <m:r>
              <m:rPr>
                <m:sty m:val="p"/>
              </m:rPr>
              <m:t>Φ</m:t>
            </m:r>
          </m:e>
          <m:sub>
            <m:r>
              <m:rPr>
                <m:sty m:val="p"/>
              </m:rPr>
              <m:t>en</m:t>
            </m:r>
          </m:sub>
        </m:sSub>
      </m:oMath>
      <w:r>
        <w:rPr>
          <w:rFonts w:ascii="Times New Roman" w:hAnsi="Times New Roman"/>
          <w:sz w:val="24"/>
        </w:rPr>
        <w:t xml:space="preserve"> </w:t>
      </w:r>
      <w:r>
        <w:rPr>
          <w:rFonts w:ascii="Times New Roman" w:hAnsi="Times New Roman"/>
          <w:sz w:val="24"/>
        </w:rPr>
        <w:t xml:space="preserve">– Firm dispatchable peaking fleet’s share of system peak capacity and of generated energy</w:t>
      </w:r>
    </w:p>
    <w:p>
      <w:pPr>
        <w:pStyle w:val="BodyText"/>
      </w:pPr>
      <m:oMath>
        <m:r>
          <m:t>c</m:t>
        </m:r>
      </m:oMath>
      <w:r>
        <w:rPr>
          <w:rFonts w:ascii="Times New Roman" w:hAnsi="Times New Roman"/>
          <w:sz w:val="24"/>
        </w:rPr>
        <w:t xml:space="preserve"> </w:t>
      </w:r>
      <w:r>
        <w:rPr>
          <w:rFonts w:ascii="Times New Roman" w:hAnsi="Times New Roman"/>
          <w:sz w:val="24"/>
        </w:rPr>
        <w:t xml:space="preserve">– Country index</w:t>
      </w:r>
    </w:p>
    <w:p>
      <w:pPr>
        <w:pStyle w:val="BodyText"/>
      </w:pPr>
      <m:oMath>
        <m:r>
          <m:t>s</m:t>
        </m:r>
      </m:oMath>
      <w:r>
        <w:rPr>
          <w:rFonts w:ascii="Times New Roman" w:hAnsi="Times New Roman"/>
          <w:sz w:val="24"/>
        </w:rPr>
        <w:t xml:space="preserve"> </w:t>
      </w:r>
      <w:r>
        <w:rPr>
          <w:rFonts w:ascii="Times New Roman" w:hAnsi="Times New Roman"/>
          <w:sz w:val="24"/>
        </w:rPr>
        <w:t xml:space="preserve">– Scenario index</w:t>
      </w:r>
    </w:p>
    <w:p>
      <w:pPr>
        <w:pStyle w:val="BodyText"/>
      </w:pPr>
      <m:oMath>
        <m:r>
          <m:t>t</m:t>
        </m:r>
        <m:r>
          <m:rPr>
            <m:sty m:val="p"/>
          </m:rPr>
          <m:t xml:space="preserve">, </m:t>
        </m:r>
        <m:sSub>
          <m:e>
            <m:r>
              <m:t>t</m:t>
            </m:r>
          </m:e>
          <m:sub>
            <m:r>
              <m:t>0</m:t>
            </m:r>
          </m:sub>
        </m:sSub>
        <m:r>
          <m:rPr>
            <m:sty m:val="p"/>
          </m:rPr>
          <m:t xml:space="preserve">, </m:t>
        </m:r>
        <m:r>
          <m:t>y</m:t>
        </m:r>
      </m:oMath>
      <w:r>
        <w:rPr>
          <w:rFonts w:ascii="Times New Roman" w:hAnsi="Times New Roman"/>
          <w:sz w:val="24"/>
        </w:rPr>
        <w:t xml:space="preserve"> </w:t>
      </w:r>
      <w:r>
        <w:rPr>
          <w:rFonts w:ascii="Times New Roman" w:hAnsi="Times New Roman"/>
          <w:sz w:val="24"/>
        </w:rPr>
        <w:t xml:space="preserve">– Year; base year; carbon-price year</w:t>
      </w:r>
    </w:p>
    <w:p>
      <w:pPr>
        <w:pStyle w:val="BodyText"/>
      </w:pPr>
      <m:oMath>
        <m:r>
          <m:rPr>
            <m:sty m:val="p"/>
          </m:rPr>
          <m:t xml:space="preserve">gas, </m:t>
        </m:r>
        <m:sSub>
          <m:e>
            <m:r>
              <m:rPr>
                <m:sty m:val="p"/>
              </m:rPr>
              <m:t>H</m:t>
            </m:r>
          </m:e>
          <m:sub>
            <m:r>
              <m:rPr>
                <m:sty m:val="p"/>
              </m:rPr>
              <m:t>2</m:t>
            </m:r>
          </m:sub>
        </m:sSub>
        <m:r>
          <m:rPr>
            <m:sty m:val="p"/>
          </m:rPr>
          <m:t xml:space="preserve">, HP</m:t>
        </m:r>
      </m:oMath>
      <w:r>
        <w:rPr>
          <w:rFonts w:ascii="Times New Roman" w:hAnsi="Times New Roman"/>
          <w:sz w:val="24"/>
        </w:rPr>
        <w:t xml:space="preserve"> </w:t>
      </w:r>
      <w:r>
        <w:rPr>
          <w:rFonts w:ascii="Times New Roman" w:hAnsi="Times New Roman"/>
          <w:sz w:val="24"/>
        </w:rPr>
        <w:t xml:space="preserve">– Gas-boiler, hydrogen-boiler and heat-pump branches</w:t>
      </w:r>
    </w:p>
    <w:p>
      <w:pPr>
        <w:pStyle w:val="BodyText"/>
      </w:pPr>
      <m:oMath>
        <m:r>
          <m:rPr>
            <m:sty m:val="p"/>
          </m:rPr>
          <m:t xml:space="preserve">pk, peak, cold</m:t>
        </m:r>
      </m:oMath>
      <w:r>
        <w:rPr>
          <w:rFonts w:ascii="Times New Roman" w:hAnsi="Times New Roman"/>
          <w:sz w:val="24"/>
        </w:rPr>
        <w:t xml:space="preserve"> </w:t>
      </w:r>
      <w:r>
        <w:rPr>
          <w:rFonts w:ascii="Times New Roman" w:hAnsi="Times New Roman"/>
          <w:sz w:val="24"/>
        </w:rPr>
        <w:t xml:space="preserve">– Peaker; system-peak/scarcity; cold-snap conditions</w:t>
      </w:r>
    </w:p>
    <w:bookmarkEnd w:id="9"/>
    <w:bookmarkStart w:id="10" w:name="sec:intro"/>
    <w:p>
      <w:pPr>
        <w:pStyle w:val="Heading1"/>
      </w:pPr>
      <w:r>
        <w:rPr>
          <w:rStyle w:val="SectionNumber"/>
          <w:rFonts w:ascii="Times New Roman" w:hAnsi="Times New Roman"/>
          <w:sz w:val="24"/>
        </w:rPr>
        <w:t xml:space="preserve">1</w:t>
      </w:r>
      <w:r>
        <w:rPr>
          <w:rFonts w:ascii="Times New Roman" w:hAnsi="Times New Roman"/>
          <w:sz w:val="24"/>
        </w:rPr>
        <w:tab/>
      </w:r>
      <w:r>
        <w:rPr>
          <w:rFonts w:ascii="Times New Roman" w:hAnsi="Times New Roman"/>
          <w:sz w:val="24"/>
        </w:rPr>
        <w:t xml:space="preserve">Introduction</w:t>
      </w:r>
    </w:p>
    <w:p>
      <w:pPr>
        <w:pStyle w:val="FirstParagraph"/>
      </w:pPr>
      <w:r>
        <w:rPr>
          <w:rFonts w:ascii="Times New Roman" w:hAnsi="Times New Roman"/>
          <w:sz w:val="24"/>
        </w:rPr>
        <w:t xml:space="preserve">Buildings take roughly 40 per cent of final energy in the European Union, most of it</w:t>
      </w:r>
      <w:r>
        <w:rPr>
          <w:rFonts w:ascii="Times New Roman" w:hAnsi="Times New Roman"/>
          <w:sz w:val="24"/>
        </w:rPr>
        <w:t xml:space="preserve"> </w:t>
      </w:r>
      <w:r>
        <w:rPr>
          <w:rFonts w:ascii="Times New Roman" w:hAnsi="Times New Roman"/>
          <w:sz w:val="24"/>
        </w:rPr>
        <w:t xml:space="preserve">burned for space heating and hot water, which places them at the centre of European</w:t>
      </w:r>
      <w:r>
        <w:rPr>
          <w:rFonts w:ascii="Times New Roman" w:hAnsi="Times New Roman"/>
          <w:sz w:val="24"/>
        </w:rPr>
        <w:t xml:space="preserve"> </w:t>
      </w:r>
      <w:r>
        <w:rPr>
          <w:rFonts w:ascii="Times New Roman" w:hAnsi="Times New Roman"/>
          <w:sz w:val="24"/>
        </w:rPr>
        <w:t xml:space="preserve">climate policy</w:t>
      </w:r>
      <w:r>
        <w:rPr>
          <w:rFonts w:ascii="Times New Roman" w:hAnsi="Times New Roman"/>
          <w:sz w:val="24"/>
        </w:rPr>
        <w:t xml:space="preserve"> </w:t>
      </w:r>
      <w:r>
        <w:rPr>
          <w:rFonts w:ascii="Times New Roman" w:hAnsi="Times New Roman"/>
          <w:sz w:val="24"/>
        </w:rPr>
        <w:t xml:space="preserve">[1], [2]</w:t>
      </w:r>
      <w:r>
        <w:rPr>
          <w:rFonts w:ascii="Times New Roman" w:hAnsi="Times New Roman"/>
          <w:sz w:val="24"/>
        </w:rPr>
        <w:t xml:space="preserve">. Hundreds of</w:t>
      </w:r>
      <w:r>
        <w:rPr>
          <w:rFonts w:ascii="Times New Roman" w:hAnsi="Times New Roman"/>
          <w:sz w:val="24"/>
        </w:rPr>
        <w:t xml:space="preserve"> </w:t>
      </w:r>
      <w:r>
        <w:rPr>
          <w:rFonts w:ascii="Times New Roman" w:hAnsi="Times New Roman"/>
          <w:sz w:val="24"/>
        </w:rPr>
        <w:t xml:space="preserve">billions of euros of that heating plant will be replaced by 2050, and whether that capital</w:t>
      </w:r>
      <w:r>
        <w:rPr>
          <w:rFonts w:ascii="Times New Roman" w:hAnsi="Times New Roman"/>
          <w:sz w:val="24"/>
        </w:rPr>
        <w:t xml:space="preserve"> </w:t>
      </w:r>
      <w:r>
        <w:rPr>
          <w:rFonts w:ascii="Times New Roman" w:hAnsi="Times New Roman"/>
          <w:sz w:val="24"/>
        </w:rPr>
        <w:t xml:space="preserve">electrifies the heat or reuses the gas network for hydrogen is a choice slow to unwind. A</w:t>
      </w:r>
      <w:r>
        <w:rPr>
          <w:rFonts w:ascii="Times New Roman" w:hAnsi="Times New Roman"/>
          <w:sz w:val="24"/>
        </w:rPr>
        <w:t xml:space="preserve"> </w:t>
      </w:r>
      <w:r>
        <w:rPr>
          <w:rFonts w:ascii="Times New Roman" w:hAnsi="Times New Roman"/>
          <w:sz w:val="24"/>
        </w:rPr>
        <w:t xml:space="preserve">clean option exists, but the difficulty lies in delivery, because heat reaches</w:t>
      </w:r>
      <w:r>
        <w:rPr>
          <w:rFonts w:ascii="Times New Roman" w:hAnsi="Times New Roman"/>
          <w:sz w:val="24"/>
        </w:rPr>
        <w:t xml:space="preserve"> </w:t>
      </w:r>
      <w:r>
        <w:rPr>
          <w:rFonts w:ascii="Times New Roman" w:hAnsi="Times New Roman"/>
          <w:sz w:val="24"/>
        </w:rPr>
        <w:t xml:space="preserve">hundreds of millions of dwellings of differing vintage and fabric whose appliances are</w:t>
      </w:r>
      <w:r>
        <w:rPr>
          <w:rFonts w:ascii="Times New Roman" w:hAnsi="Times New Roman"/>
          <w:sz w:val="24"/>
        </w:rPr>
        <w:t xml:space="preserve"> </w:t>
      </w:r>
      <w:r>
        <w:rPr>
          <w:rFonts w:ascii="Times New Roman" w:hAnsi="Times New Roman"/>
          <w:sz w:val="24"/>
        </w:rPr>
        <w:t xml:space="preserve">replaced only as they fail</w:t>
      </w:r>
      <w:r>
        <w:rPr>
          <w:rFonts w:ascii="Times New Roman" w:hAnsi="Times New Roman"/>
          <w:sz w:val="24"/>
        </w:rPr>
        <w:t xml:space="preserve"> </w:t>
      </w:r>
      <w:r>
        <w:rPr>
          <w:rFonts w:ascii="Times New Roman" w:hAnsi="Times New Roman"/>
          <w:sz w:val="24"/>
        </w:rPr>
        <w:t xml:space="preserve">[3], [4]</w:t>
      </w:r>
      <w:r>
        <w:rPr>
          <w:rFonts w:ascii="Times New Roman" w:hAnsi="Times New Roman"/>
          <w:sz w:val="24"/>
        </w:rPr>
        <w:t xml:space="preserve">.</w:t>
      </w:r>
    </w:p>
    <w:p>
      <w:pPr>
        <w:pStyle w:val="BodyText"/>
      </w:pPr>
      <w:r>
        <w:rPr>
          <w:rFonts w:ascii="Times New Roman" w:hAnsi="Times New Roman"/>
          <w:sz w:val="24"/>
        </w:rPr>
        <w:t xml:space="preserve">European policy has converged on heat pumps as the principal route, and the case is strong.</w:t>
      </w:r>
      <w:r>
        <w:rPr>
          <w:rFonts w:ascii="Times New Roman" w:hAnsi="Times New Roman"/>
          <w:sz w:val="24"/>
        </w:rPr>
        <w:t xml:space="preserve"> </w:t>
      </w:r>
      <w:r>
        <w:rPr>
          <w:rFonts w:ascii="Times New Roman" w:hAnsi="Times New Roman"/>
          <w:sz w:val="24"/>
        </w:rPr>
        <w:t xml:space="preserve">A coefficient of performance (COP) of two to four draws less final energy than any combustion</w:t>
      </w:r>
      <w:r>
        <w:rPr>
          <w:rFonts w:ascii="Times New Roman" w:hAnsi="Times New Roman"/>
          <w:sz w:val="24"/>
        </w:rPr>
        <w:t xml:space="preserve"> </w:t>
      </w:r>
      <w:r>
        <w:rPr>
          <w:rFonts w:ascii="Times New Roman" w:hAnsi="Times New Roman"/>
          <w:sz w:val="24"/>
        </w:rPr>
        <w:t xml:space="preserve">appliance, and the machine decarbonises as the grid does</w:t>
      </w:r>
      <w:r>
        <w:rPr>
          <w:rFonts w:ascii="Times New Roman" w:hAnsi="Times New Roman"/>
          <w:sz w:val="24"/>
        </w:rPr>
        <w:t xml:space="preserve"> </w:t>
      </w:r>
      <w:r>
        <w:rPr>
          <w:rFonts w:ascii="Times New Roman" w:hAnsi="Times New Roman"/>
          <w:sz w:val="24"/>
        </w:rPr>
        <w:t xml:space="preserve">[5], [6]</w:t>
      </w:r>
      <w:r>
        <w:rPr>
          <w:rFonts w:ascii="Times New Roman" w:hAnsi="Times New Roman"/>
          <w:sz w:val="24"/>
        </w:rPr>
        <w:t xml:space="preserve">. However, deployment is slowed by frictions that fall</w:t>
      </w:r>
      <w:r>
        <w:rPr>
          <w:rFonts w:ascii="Times New Roman" w:hAnsi="Times New Roman"/>
          <w:sz w:val="24"/>
        </w:rPr>
        <w:t xml:space="preserve"> </w:t>
      </w:r>
      <w:r>
        <w:rPr>
          <w:rFonts w:ascii="Times New Roman" w:hAnsi="Times New Roman"/>
          <w:sz w:val="24"/>
        </w:rPr>
        <w:t xml:space="preserve">unevenly across the stock, among them retrofitting poorly insulated dwellings,</w:t>
      </w:r>
      <w:r>
        <w:rPr>
          <w:rFonts w:ascii="Times New Roman" w:hAnsi="Times New Roman"/>
          <w:sz w:val="24"/>
        </w:rPr>
        <w:t xml:space="preserve"> </w:t>
      </w:r>
      <w:r>
        <w:rPr>
          <w:rFonts w:ascii="Times New Roman" w:hAnsi="Times New Roman"/>
          <w:sz w:val="24"/>
        </w:rPr>
        <w:t xml:space="preserve">distribution-grid reinforcement in dense areas, and performance that degrades in the</w:t>
      </w:r>
      <w:r>
        <w:rPr>
          <w:rFonts w:ascii="Times New Roman" w:hAnsi="Times New Roman"/>
          <w:sz w:val="24"/>
        </w:rPr>
        <w:t xml:space="preserve"> </w:t>
      </w:r>
      <w:r>
        <w:rPr>
          <w:rFonts w:ascii="Times New Roman" w:hAnsi="Times New Roman"/>
          <w:sz w:val="24"/>
        </w:rPr>
        <w:t xml:space="preserve">coldest weather</w:t>
      </w:r>
      <w:r>
        <w:rPr>
          <w:rFonts w:ascii="Times New Roman" w:hAnsi="Times New Roman"/>
          <w:sz w:val="24"/>
        </w:rPr>
        <w:t xml:space="preserve"> </w:t>
      </w:r>
      <w:r>
        <w:rPr>
          <w:rFonts w:ascii="Times New Roman" w:hAnsi="Times New Roman"/>
          <w:sz w:val="24"/>
        </w:rPr>
        <w:t xml:space="preserve">[7], [8]</w:t>
      </w:r>
      <w:r>
        <w:rPr>
          <w:rFonts w:ascii="Times New Roman" w:hAnsi="Times New Roman"/>
          <w:sz w:val="24"/>
        </w:rPr>
        <w:t xml:space="preserve">. We price that reinforcement</w:t>
      </w:r>
      <w:r>
        <w:rPr>
          <w:rFonts w:ascii="Times New Roman" w:hAnsi="Times New Roman"/>
          <w:sz w:val="24"/>
        </w:rPr>
        <w:t xml:space="preserve"> </w:t>
      </w:r>
      <w:r>
        <w:rPr>
          <w:rFonts w:ascii="Times New Roman" w:hAnsi="Times New Roman"/>
          <w:sz w:val="24"/>
        </w:rPr>
        <w:t xml:space="preserve">inside the levelised cost of delivered heat, and the same frictions open pockets for a</w:t>
      </w:r>
      <w:r>
        <w:rPr>
          <w:rFonts w:ascii="Times New Roman" w:hAnsi="Times New Roman"/>
          <w:sz w:val="24"/>
        </w:rPr>
        <w:t xml:space="preserve"> </w:t>
      </w:r>
      <w:r>
        <w:rPr>
          <w:rFonts w:ascii="Times New Roman" w:hAnsi="Times New Roman"/>
          <w:sz w:val="24"/>
        </w:rPr>
        <w:t xml:space="preserve">gas-based alternative.</w:t>
      </w:r>
    </w:p>
    <w:p>
      <w:pPr>
        <w:pStyle w:val="BodyText"/>
      </w:pPr>
      <w:r>
        <w:rPr>
          <w:rFonts w:ascii="Times New Roman" w:hAnsi="Times New Roman"/>
          <w:sz w:val="24"/>
        </w:rPr>
        <w:t xml:space="preserve">Hydrogen is the alternative most often advanced, and the most contested, because a</w:t>
      </w:r>
      <w:r>
        <w:rPr>
          <w:rFonts w:ascii="Times New Roman" w:hAnsi="Times New Roman"/>
          <w:sz w:val="24"/>
        </w:rPr>
        <w:t xml:space="preserve"> </w:t>
      </w:r>
      <w:r>
        <w:rPr>
          <w:rFonts w:ascii="Times New Roman" w:hAnsi="Times New Roman"/>
          <w:sz w:val="24"/>
        </w:rPr>
        <w:t xml:space="preserve">low-carbon gas could in principle reuse the existing distribution network and the</w:t>
      </w:r>
      <w:r>
        <w:rPr>
          <w:rFonts w:ascii="Times New Roman" w:hAnsi="Times New Roman"/>
          <w:sz w:val="24"/>
        </w:rPr>
        <w:t xml:space="preserve"> </w:t>
      </w:r>
      <w:r>
        <w:rPr>
          <w:rFonts w:ascii="Times New Roman" w:hAnsi="Times New Roman"/>
          <w:sz w:val="24"/>
        </w:rPr>
        <w:t xml:space="preserve">appliance habit of a gas-heated home</w:t>
      </w:r>
      <w:r>
        <w:rPr>
          <w:rFonts w:ascii="Times New Roman" w:hAnsi="Times New Roman"/>
          <w:sz w:val="24"/>
        </w:rPr>
        <w:t xml:space="preserve"> </w:t>
      </w:r>
      <w:r>
        <w:rPr>
          <w:rFonts w:ascii="Times New Roman" w:hAnsi="Times New Roman"/>
          <w:sz w:val="24"/>
        </w:rPr>
        <w:t xml:space="preserve">[9], [10]</w:t>
      </w:r>
      <w:r>
        <w:rPr>
          <w:rFonts w:ascii="Times New Roman" w:hAnsi="Times New Roman"/>
          <w:sz w:val="24"/>
        </w:rPr>
        <w:t xml:space="preserve">. REPowerEU raised the EU’s 2030 ambition to 20 Mt of renewable and imported supply, with</w:t>
      </w:r>
      <w:r>
        <w:rPr>
          <w:rFonts w:ascii="Times New Roman" w:hAnsi="Times New Roman"/>
          <w:sz w:val="24"/>
        </w:rPr>
        <w:t xml:space="preserve"> </w:t>
      </w:r>
      <w:r>
        <w:rPr>
          <w:rFonts w:ascii="Times New Roman" w:hAnsi="Times New Roman"/>
          <w:sz w:val="24"/>
        </w:rPr>
        <w:t xml:space="preserve">buildings among the candidate demand centres</w:t>
      </w:r>
      <w:r>
        <w:rPr>
          <w:rFonts w:ascii="Times New Roman" w:hAnsi="Times New Roman"/>
          <w:sz w:val="24"/>
        </w:rPr>
        <w:t xml:space="preserve"> </w:t>
      </w:r>
      <w:r>
        <w:rPr>
          <w:rFonts w:ascii="Times New Roman" w:hAnsi="Times New Roman"/>
          <w:sz w:val="24"/>
        </w:rPr>
        <w:t xml:space="preserve">[11], [12]</w:t>
      </w:r>
      <w:r>
        <w:rPr>
          <w:rFonts w:ascii="Times New Roman" w:hAnsi="Times New Roman"/>
          <w:sz w:val="24"/>
        </w:rPr>
        <w:t xml:space="preserve">, and the 2022 gas crisis sharpened the</w:t>
      </w:r>
      <w:r>
        <w:rPr>
          <w:rFonts w:ascii="Times New Roman" w:hAnsi="Times New Roman"/>
          <w:sz w:val="24"/>
        </w:rPr>
        <w:t xml:space="preserve"> </w:t>
      </w:r>
      <w:r>
        <w:rPr>
          <w:rFonts w:ascii="Times New Roman" w:hAnsi="Times New Roman"/>
          <w:sz w:val="24"/>
        </w:rPr>
        <w:t xml:space="preserve">appetite for a storable domestic fuel</w:t>
      </w:r>
      <w:r>
        <w:rPr>
          <w:rFonts w:ascii="Times New Roman" w:hAnsi="Times New Roman"/>
          <w:sz w:val="24"/>
        </w:rPr>
        <w:t xml:space="preserve"> </w:t>
      </w:r>
      <w:r>
        <w:rPr>
          <w:rFonts w:ascii="Times New Roman" w:hAnsi="Times New Roman"/>
          <w:sz w:val="24"/>
        </w:rPr>
        <w:t xml:space="preserve">[13]</w:t>
      </w:r>
      <w:r>
        <w:rPr>
          <w:rFonts w:ascii="Times New Roman" w:hAnsi="Times New Roman"/>
          <w:sz w:val="24"/>
        </w:rPr>
        <w:t xml:space="preserve">. However, a substantial</w:t>
      </w:r>
      <w:r>
        <w:rPr>
          <w:rFonts w:ascii="Times New Roman" w:hAnsi="Times New Roman"/>
          <w:sz w:val="24"/>
        </w:rPr>
        <w:t xml:space="preserve"> </w:t>
      </w:r>
      <w:r>
        <w:rPr>
          <w:rFonts w:ascii="Times New Roman" w:hAnsi="Times New Roman"/>
          <w:sz w:val="24"/>
        </w:rPr>
        <w:t xml:space="preserve">sceptical literature answers that hydrogen for space heating wastes primary energy,</w:t>
      </w:r>
      <w:r>
        <w:rPr>
          <w:rFonts w:ascii="Times New Roman" w:hAnsi="Times New Roman"/>
          <w:sz w:val="24"/>
        </w:rPr>
        <w:t xml:space="preserve"> </w:t>
      </w:r>
      <w:r>
        <w:rPr>
          <w:rFonts w:ascii="Times New Roman" w:hAnsi="Times New Roman"/>
          <w:sz w:val="24"/>
        </w:rPr>
        <w:t xml:space="preserve">competes for scarce electrolytic supply, and understates the cost of network conversion</w:t>
      </w:r>
      <w:r>
        <w:rPr>
          <w:rFonts w:ascii="Times New Roman" w:hAnsi="Times New Roman"/>
          <w:sz w:val="24"/>
        </w:rPr>
        <w:t xml:space="preserve"> </w:t>
      </w:r>
      <w:r>
        <w:rPr>
          <w:rFonts w:ascii="Times New Roman" w:hAnsi="Times New Roman"/>
          <w:sz w:val="24"/>
        </w:rPr>
        <w:t xml:space="preserve">[14], [15], [16], [17], [18]</w:t>
      </w:r>
      <w:r>
        <w:rPr>
          <w:rFonts w:ascii="Times New Roman" w:hAnsi="Times New Roman"/>
          <w:sz w:val="24"/>
        </w:rPr>
        <w:t xml:space="preserve">.</w:t>
      </w:r>
    </w:p>
    <w:p>
      <w:pPr>
        <w:pStyle w:val="BodyText"/>
      </w:pPr>
      <w:r>
        <w:rPr>
          <w:rFonts w:ascii="Times New Roman" w:hAnsi="Times New Roman"/>
          <w:sz w:val="24"/>
        </w:rPr>
        <w:t xml:space="preserve">The quantitative basis for settling the dispute is thinner than the debate implies, and</w:t>
      </w:r>
      <w:r>
        <w:rPr>
          <w:rFonts w:ascii="Times New Roman" w:hAnsi="Times New Roman"/>
          <w:sz w:val="24"/>
        </w:rPr>
        <w:t xml:space="preserve"> </w:t>
      </w:r>
      <w:r>
        <w:rPr>
          <w:rFonts w:ascii="Times New Roman" w:hAnsi="Times New Roman"/>
          <w:sz w:val="24"/>
        </w:rPr>
        <w:t xml:space="preserve">the gaps fall into three groups. The first is spatial resolution. The continental</w:t>
      </w:r>
      <w:r>
        <w:rPr>
          <w:rFonts w:ascii="Times New Roman" w:hAnsi="Times New Roman"/>
          <w:sz w:val="24"/>
        </w:rPr>
        <w:t xml:space="preserve"> </w:t>
      </w:r>
      <w:r>
        <w:rPr>
          <w:rFonts w:ascii="Times New Roman" w:hAnsi="Times New Roman"/>
          <w:sz w:val="24"/>
        </w:rPr>
        <w:t xml:space="preserve">assessments resolve the building stock in detail but at national resolution, so they</w:t>
      </w:r>
      <w:r>
        <w:rPr>
          <w:rFonts w:ascii="Times New Roman" w:hAnsi="Times New Roman"/>
          <w:sz w:val="24"/>
        </w:rPr>
        <w:t xml:space="preserve"> </w:t>
      </w:r>
      <w:r>
        <w:rPr>
          <w:rFonts w:ascii="Times New Roman" w:hAnsi="Times New Roman"/>
          <w:sz w:val="24"/>
        </w:rPr>
        <w:t xml:space="preserve">cannot see the within-country demand gradient or the storage geology that decide where</w:t>
      </w:r>
      <w:r>
        <w:rPr>
          <w:rFonts w:ascii="Times New Roman" w:hAnsi="Times New Roman"/>
          <w:sz w:val="24"/>
        </w:rPr>
        <w:t xml:space="preserve"> </w:t>
      </w:r>
      <w:r>
        <w:rPr>
          <w:rFonts w:ascii="Times New Roman" w:hAnsi="Times New Roman"/>
          <w:sz w:val="24"/>
        </w:rPr>
        <w:t xml:space="preserve">hydrogen might compete</w:t>
      </w:r>
      <w:r>
        <w:rPr>
          <w:rFonts w:ascii="Times New Roman" w:hAnsi="Times New Roman"/>
          <w:sz w:val="24"/>
        </w:rPr>
        <w:t xml:space="preserve"> </w:t>
      </w:r>
      <w:r>
        <w:rPr>
          <w:rFonts w:ascii="Times New Roman" w:hAnsi="Times New Roman"/>
          <w:sz w:val="24"/>
        </w:rPr>
        <w:t xml:space="preserve">[19], [20]</w:t>
      </w:r>
      <w:r>
        <w:rPr>
          <w:rFonts w:ascii="Times New Roman" w:hAnsi="Times New Roman"/>
          <w:sz w:val="24"/>
        </w:rPr>
        <w:t xml:space="preserve">. Sub-national</w:t>
      </w:r>
      <w:r>
        <w:rPr>
          <w:rFonts w:ascii="Times New Roman" w:hAnsi="Times New Roman"/>
          <w:sz w:val="24"/>
        </w:rPr>
        <w:t xml:space="preserve"> </w:t>
      </w:r>
      <w:r>
        <w:rPr>
          <w:rFonts w:ascii="Times New Roman" w:hAnsi="Times New Roman"/>
          <w:sz w:val="24"/>
        </w:rPr>
        <w:t xml:space="preserve">European work exists for the hydrogen network itself</w:t>
      </w:r>
      <w:r>
        <w:rPr>
          <w:rFonts w:ascii="Times New Roman" w:hAnsi="Times New Roman"/>
          <w:sz w:val="24"/>
        </w:rPr>
        <w:t xml:space="preserve"> </w:t>
      </w:r>
      <w:r>
        <w:rPr>
          <w:rFonts w:ascii="Times New Roman" w:hAnsi="Times New Roman"/>
          <w:sz w:val="24"/>
        </w:rPr>
        <w:t xml:space="preserve">[21], [22]</w:t>
      </w:r>
      <w:r>
        <w:rPr>
          <w:rFonts w:ascii="Times New Roman" w:hAnsi="Times New Roman"/>
          <w:sz w:val="24"/>
        </w:rPr>
        <w:t xml:space="preserve">, spatially explicit studies are mostly</w:t>
      </w:r>
      <w:r>
        <w:rPr>
          <w:rFonts w:ascii="Times New Roman" w:hAnsi="Times New Roman"/>
          <w:sz w:val="24"/>
        </w:rPr>
        <w:t xml:space="preserve"> </w:t>
      </w:r>
      <w:r>
        <w:rPr>
          <w:rFonts w:ascii="Times New Roman" w:hAnsi="Times New Roman"/>
          <w:sz w:val="24"/>
        </w:rPr>
        <w:t xml:space="preserve">single-country</w:t>
      </w:r>
      <w:r>
        <w:rPr>
          <w:rFonts w:ascii="Times New Roman" w:hAnsi="Times New Roman"/>
          <w:sz w:val="24"/>
        </w:rPr>
        <w:t xml:space="preserve"> </w:t>
      </w:r>
      <w:r>
        <w:rPr>
          <w:rFonts w:ascii="Times New Roman" w:hAnsi="Times New Roman"/>
          <w:sz w:val="24"/>
        </w:rPr>
        <w:t xml:space="preserve">[23], [24], [25]</w:t>
      </w:r>
      <w:r>
        <w:rPr>
          <w:rFonts w:ascii="Times New Roman" w:hAnsi="Times New Roman"/>
          <w:sz w:val="24"/>
        </w:rPr>
        <w:t xml:space="preserve">, and the pan-European</w:t>
      </w:r>
      <w:r>
        <w:rPr>
          <w:rFonts w:ascii="Times New Roman" w:hAnsi="Times New Roman"/>
          <w:sz w:val="24"/>
        </w:rPr>
        <w:t xml:space="preserve"> </w:t>
      </w:r>
      <w:r>
        <w:rPr>
          <w:rFonts w:ascii="Times New Roman" w:hAnsi="Times New Roman"/>
          <w:sz w:val="24"/>
        </w:rPr>
        <w:t xml:space="preserve">mapping resolves heat demand without a dispatch test</w:t>
      </w:r>
      <w:r>
        <w:rPr>
          <w:rFonts w:ascii="Times New Roman" w:hAnsi="Times New Roman"/>
          <w:sz w:val="24"/>
        </w:rPr>
        <w:t xml:space="preserve"> </w:t>
      </w:r>
      <w:r>
        <w:rPr>
          <w:rFonts w:ascii="Times New Roman" w:hAnsi="Times New Roman"/>
          <w:sz w:val="24"/>
        </w:rPr>
        <w:t xml:space="preserve">[26], [27]</w:t>
      </w:r>
      <w:r>
        <w:rPr>
          <w:rFonts w:ascii="Times New Roman" w:hAnsi="Times New Roman"/>
          <w:sz w:val="24"/>
        </w:rPr>
        <w:t xml:space="preserve">. The second is the share itself, which studies</w:t>
      </w:r>
      <w:r>
        <w:rPr>
          <w:rFonts w:ascii="Times New Roman" w:hAnsi="Times New Roman"/>
          <w:sz w:val="24"/>
        </w:rPr>
        <w:t xml:space="preserve"> </w:t>
      </w:r>
      <w:r>
        <w:rPr>
          <w:rFonts w:ascii="Times New Roman" w:hAnsi="Times New Roman"/>
          <w:sz w:val="24"/>
        </w:rPr>
        <w:t xml:space="preserve">commonly fix by assumption</w:t>
      </w:r>
      <w:r>
        <w:rPr>
          <w:rFonts w:ascii="Times New Roman" w:hAnsi="Times New Roman"/>
          <w:sz w:val="24"/>
        </w:rPr>
        <w:t xml:space="preserve"> </w:t>
      </w:r>
      <w:r>
        <w:rPr>
          <w:rFonts w:ascii="Times New Roman" w:hAnsi="Times New Roman"/>
          <w:sz w:val="24"/>
        </w:rPr>
        <w:t xml:space="preserve">[28], [29]</w:t>
      </w:r>
      <w:r>
        <w:rPr>
          <w:rFonts w:ascii="Times New Roman" w:hAnsi="Times New Roman"/>
          <w:sz w:val="24"/>
        </w:rPr>
        <w:t xml:space="preserve"> </w:t>
      </w:r>
      <w:r>
        <w:rPr>
          <w:rFonts w:ascii="Times New Roman" w:hAnsi="Times New Roman"/>
          <w:sz w:val="24"/>
        </w:rPr>
        <w:t xml:space="preserve">and price on</w:t>
      </w:r>
      <w:r>
        <w:rPr>
          <w:rFonts w:ascii="Times New Roman" w:hAnsi="Times New Roman"/>
          <w:sz w:val="24"/>
        </w:rPr>
        <w:t xml:space="preserve"> </w:t>
      </w:r>
      <w:r>
        <w:rPr>
          <w:rFonts w:ascii="Times New Roman" w:hAnsi="Times New Roman"/>
          <w:sz w:val="24"/>
        </w:rPr>
        <w:t xml:space="preserve">annual levelised cost, which misstates how a dispatchable fuel competes</w:t>
      </w:r>
      <w:r>
        <w:rPr>
          <w:rFonts w:ascii="Times New Roman" w:hAnsi="Times New Roman"/>
          <w:sz w:val="24"/>
        </w:rPr>
        <w:t xml:space="preserve"> </w:t>
      </w:r>
      <w:r>
        <w:rPr>
          <w:rFonts w:ascii="Times New Roman" w:hAnsi="Times New Roman"/>
          <w:sz w:val="24"/>
        </w:rPr>
        <w:t xml:space="preserve">[30], [31]</w:t>
      </w:r>
      <w:r>
        <w:rPr>
          <w:rFonts w:ascii="Times New Roman" w:hAnsi="Times New Roman"/>
          <w:sz w:val="24"/>
        </w:rPr>
        <w:t xml:space="preserve">. The third is a severed link between heat and</w:t>
      </w:r>
      <w:r>
        <w:rPr>
          <w:rFonts w:ascii="Times New Roman" w:hAnsi="Times New Roman"/>
          <w:sz w:val="24"/>
        </w:rPr>
        <w:t xml:space="preserve"> </w:t>
      </w:r>
      <w:r>
        <w:rPr>
          <w:rFonts w:ascii="Times New Roman" w:hAnsi="Times New Roman"/>
          <w:sz w:val="24"/>
        </w:rPr>
        <w:t xml:space="preserve">power, and coupled system studies do model it</w:t>
      </w:r>
      <w:r>
        <w:rPr>
          <w:rFonts w:ascii="Times New Roman" w:hAnsi="Times New Roman"/>
          <w:sz w:val="24"/>
        </w:rPr>
        <w:t xml:space="preserve"> </w:t>
      </w:r>
      <w:r>
        <w:rPr>
          <w:rFonts w:ascii="Times New Roman" w:hAnsi="Times New Roman"/>
          <w:sz w:val="24"/>
        </w:rPr>
        <w:t xml:space="preserve">[32], [33]</w:t>
      </w:r>
      <w:r>
        <w:rPr>
          <w:rFonts w:ascii="Times New Roman" w:hAnsi="Times New Roman"/>
          <w:sz w:val="24"/>
        </w:rPr>
        <w:t xml:space="preserve">. However, they report a system optimum</w:t>
      </w:r>
      <w:r>
        <w:rPr>
          <w:rFonts w:ascii="Times New Roman" w:hAnsi="Times New Roman"/>
          <w:sz w:val="24"/>
        </w:rPr>
        <w:t xml:space="preserve"> </w:t>
      </w:r>
      <w:r>
        <w:rPr>
          <w:rFonts w:ascii="Times New Roman" w:hAnsi="Times New Roman"/>
          <w:sz w:val="24"/>
        </w:rPr>
        <w:t xml:space="preserve">rather than the standalone capital-recovery position of a hydrogen peaker market by</w:t>
      </w:r>
      <w:r>
        <w:rPr>
          <w:rFonts w:ascii="Times New Roman" w:hAnsi="Times New Roman"/>
          <w:sz w:val="24"/>
        </w:rPr>
        <w:t xml:space="preserve"> </w:t>
      </w:r>
      <w:r>
        <w:rPr>
          <w:rFonts w:ascii="Times New Roman" w:hAnsi="Times New Roman"/>
          <w:sz w:val="24"/>
        </w:rPr>
        <w:t xml:space="preserve">market, which is the quantity a private investor and a capacity mechanism both need.</w:t>
      </w:r>
    </w:p>
    <w:p>
      <w:pPr>
        <w:pStyle w:val="BodyText"/>
      </w:pPr>
      <w:r>
        <w:rPr>
          <w:rFonts w:ascii="Times New Roman" w:hAnsi="Times New Roman"/>
          <w:sz w:val="24"/>
        </w:rPr>
        <w:t xml:space="preserve">This study therefore asks under what conditions, and where, decarbonised hydrogen is competitive against heat-pump electrification in the buildings of the EU-27, the United Kingdom and Switzerland by 2050. Against those strands it adds a quantity each leaves out. The review literature</w:t>
      </w:r>
      <w:r>
        <w:rPr>
          <w:rFonts w:ascii="Times New Roman" w:hAnsi="Times New Roman"/>
          <w:sz w:val="24"/>
        </w:rPr>
        <w:t xml:space="preserve"> </w:t>
      </w:r>
      <w:r>
        <w:rPr>
          <w:rFonts w:ascii="Times New Roman" w:hAnsi="Times New Roman"/>
          <w:sz w:val="24"/>
        </w:rPr>
        <w:t xml:space="preserve">concludes against hydrogen for domestic heat</w:t>
      </w:r>
      <w:r>
        <w:rPr>
          <w:rFonts w:ascii="Times New Roman" w:hAnsi="Times New Roman"/>
          <w:sz w:val="24"/>
        </w:rPr>
        <w:t xml:space="preserve"> </w:t>
      </w:r>
      <w:r>
        <w:rPr>
          <w:rFonts w:ascii="Times New Roman" w:hAnsi="Times New Roman"/>
          <w:sz w:val="24"/>
        </w:rPr>
        <w:t xml:space="preserve">[14], [15]</w:t>
      </w:r>
      <w:r>
        <w:rPr>
          <w:rFonts w:ascii="Times New Roman" w:hAnsi="Times New Roman"/>
          <w:sz w:val="24"/>
        </w:rPr>
        <w:t xml:space="preserve"> </w:t>
      </w:r>
      <w:r>
        <w:rPr>
          <w:rFonts w:ascii="Times New Roman" w:hAnsi="Times New Roman"/>
          <w:sz w:val="24"/>
        </w:rPr>
        <w:t xml:space="preserve">without reporting where the conclusion</w:t>
      </w:r>
      <w:r>
        <w:rPr>
          <w:rFonts w:ascii="Times New Roman" w:hAnsi="Times New Roman"/>
          <w:sz w:val="24"/>
        </w:rPr>
        <w:t xml:space="preserve"> </w:t>
      </w:r>
      <w:r>
        <w:rPr>
          <w:rFonts w:ascii="Times New Roman" w:hAnsi="Times New Roman"/>
          <w:sz w:val="24"/>
        </w:rPr>
        <w:t xml:space="preserve">is close, so we reproduce the ordering in 22 of 29 markets, at an all-29 median of</w:t>
      </w:r>
      <w:r>
        <w:rPr>
          <w:rFonts w:ascii="Times New Roman" w:hAnsi="Times New Roman"/>
          <w:sz w:val="24"/>
        </w:rPr>
        <w:t xml:space="preserve"> </w:t>
      </w:r>
      <w:r>
        <w:rPr>
          <w:rFonts w:ascii="Times New Roman" w:hAnsi="Times New Roman"/>
          <w:sz w:val="24"/>
        </w:rPr>
        <w:t xml:space="preserve">€15.4/MWh in the heat pump’s favour, and price the seven exceptions individually.</w:t>
      </w:r>
      <w:r>
        <w:rPr>
          <w:rFonts w:ascii="Times New Roman" w:hAnsi="Times New Roman"/>
          <w:sz w:val="24"/>
        </w:rPr>
        <w:t xml:space="preserve"> </w:t>
      </w:r>
      <w:r>
        <w:rPr>
          <w:rFonts w:ascii="Times New Roman" w:hAnsi="Times New Roman"/>
          <w:sz w:val="24"/>
        </w:rPr>
        <w:t xml:space="preserve">The sub-national work returns a network plan rather than a plant’s balance sheet</w:t>
      </w:r>
      <w:r>
        <w:rPr>
          <w:rFonts w:ascii="Times New Roman" w:hAnsi="Times New Roman"/>
          <w:sz w:val="24"/>
        </w:rPr>
        <w:t xml:space="preserve"> </w:t>
      </w:r>
      <w:r>
        <w:rPr>
          <w:rFonts w:ascii="Times New Roman" w:hAnsi="Times New Roman"/>
          <w:sz w:val="24"/>
        </w:rPr>
        <w:t xml:space="preserve">[21], [22]</w:t>
      </w:r>
      <w:r>
        <w:rPr>
          <w:rFonts w:ascii="Times New Roman" w:hAnsi="Times New Roman"/>
          <w:sz w:val="24"/>
        </w:rPr>
        <w:t xml:space="preserve">, so we return a peaker’s standalone</w:t>
      </w:r>
      <w:r>
        <w:rPr>
          <w:rFonts w:ascii="Times New Roman" w:hAnsi="Times New Roman"/>
          <w:sz w:val="24"/>
        </w:rPr>
        <w:t xml:space="preserve"> </w:t>
      </w:r>
      <w:r>
        <w:rPr>
          <w:rFonts w:ascii="Times New Roman" w:hAnsi="Times New Roman"/>
          <w:sz w:val="24"/>
        </w:rPr>
        <w:t xml:space="preserve">capital recovery market by market. The firm-capacity literature establishes that</w:t>
      </w:r>
      <w:r>
        <w:rPr>
          <w:rFonts w:ascii="Times New Roman" w:hAnsi="Times New Roman"/>
          <w:sz w:val="24"/>
        </w:rPr>
        <w:t xml:space="preserve"> </w:t>
      </w:r>
      <w:r>
        <w:rPr>
          <w:rFonts w:ascii="Times New Roman" w:hAnsi="Times New Roman"/>
          <w:sz w:val="24"/>
        </w:rPr>
        <w:t xml:space="preserve">low-carbon systems need clean firm capacity</w:t>
      </w:r>
      <w:r>
        <w:rPr>
          <w:rFonts w:ascii="Times New Roman" w:hAnsi="Times New Roman"/>
          <w:sz w:val="24"/>
        </w:rPr>
        <w:t xml:space="preserve"> </w:t>
      </w:r>
      <w:r>
        <w:rPr>
          <w:rFonts w:ascii="Times New Roman" w:hAnsi="Times New Roman"/>
          <w:sz w:val="24"/>
        </w:rPr>
        <w:t xml:space="preserve">[34], [35]</w:t>
      </w:r>
      <w:r>
        <w:rPr>
          <w:rFonts w:ascii="Times New Roman" w:hAnsi="Times New Roman"/>
          <w:sz w:val="24"/>
        </w:rPr>
        <w:t xml:space="preserve"> </w:t>
      </w:r>
      <w:r>
        <w:rPr>
          <w:rFonts w:ascii="Times New Roman" w:hAnsi="Times New Roman"/>
          <w:sz w:val="24"/>
        </w:rPr>
        <w:t xml:space="preserve">without pricing it when the load</w:t>
      </w:r>
      <w:r>
        <w:rPr>
          <w:rFonts w:ascii="Times New Roman" w:hAnsi="Times New Roman"/>
          <w:sz w:val="24"/>
        </w:rPr>
        <w:t xml:space="preserve"> </w:t>
      </w:r>
      <w:r>
        <w:rPr>
          <w:rFonts w:ascii="Times New Roman" w:hAnsi="Times New Roman"/>
          <w:sz w:val="24"/>
        </w:rPr>
        <w:t xml:space="preserve">is building heat, so we put that at €31–63/kW-yr.</w:t>
      </w:r>
    </w:p>
    <w:p>
      <w:pPr>
        <w:pStyle w:val="BodyText"/>
      </w:pPr>
      <w:r>
        <w:rPr>
          <w:rFonts w:ascii="Times New Roman" w:hAnsi="Times New Roman"/>
          <w:sz w:val="24"/>
        </w:rPr>
        <w:t xml:space="preserve">First, where other work imposes a hydrogen share and stops, we impose transparent adoption pathways and then test them against an independent dispatch screen, market by market, exposing the cost and geology regimes a continental average would bury. Second, we recast the question from an energy-share contest into one about capacity and capital, screening the linked tests on one dispatch basis and testing capital recovery on the plant that wins the power peak. To deliver both we assemble a bottom-up techno-economic model of residential heating across the EU-27, the United Kingdom and Switzerland from 2025 to 2050. It reconstructs useful heat demand on a 1</w:t>
      </w:r>
      <w:r>
        <w:rPr>
          <w:rFonts w:ascii="Times New Roman" w:hAnsi="Times New Roman"/>
          <w:sz w:val="24"/>
        </w:rPr>
        <w:t xml:space="preserve">,</w:t>
      </w:r>
      <w:r>
        <w:rPr>
          <w:rFonts w:ascii="Times New Roman" w:hAnsi="Times New Roman"/>
          <w:sz w:val="24"/>
        </w:rPr>
        <w:t xml:space="preserve">369-region NUTS3 demand surface and aggregates it to the country before any cost test, benchmarking to within</w:t>
      </w:r>
      <w:r>
        <w:rPr>
          <w:rFonts w:ascii="Times New Roman" w:hAnsi="Times New Roman"/>
          <w:sz w:val="24"/>
        </w:rPr>
        <w:t xml:space="preserve"> </w:t>
      </w:r>
      <w:r>
        <w:t xml:space="preserve">−0.8</w:t>
      </w:r>
      <w:r>
        <w:rPr>
          <w:rFonts w:ascii="Times New Roman" w:hAnsi="Times New Roman"/>
          <w:sz w:val="24"/>
        </w:rPr>
        <w:t xml:space="preserve"> per cent against an independent regional database</w:t>
      </w:r>
      <w:r>
        <w:rPr>
          <w:rFonts w:ascii="Times New Roman" w:hAnsi="Times New Roman"/>
          <w:sz w:val="24"/>
        </w:rPr>
        <w:t xml:space="preserve"> </w:t>
      </w:r>
      <w:r>
        <w:rPr>
          <w:rFonts w:ascii="Times New Roman" w:hAnsi="Times New Roman"/>
          <w:sz w:val="24"/>
        </w:rPr>
        <w:t xml:space="preserve">[36], [37]</w:t>
      </w:r>
      <w:r>
        <w:rPr>
          <w:rFonts w:ascii="Times New Roman" w:hAnsi="Times New Roman"/>
          <w:sz w:val="24"/>
        </w:rPr>
        <w:t xml:space="preserve">, and propagates that demand through eight technologies and four scenarios in a 200-draw Monte Carlo.</w:t>
      </w:r>
    </w:p>
    <w:p>
      <w:pPr>
        <w:pStyle w:val="BodyText"/>
      </w:pPr>
      <w:r>
        <w:rPr>
          <w:rFonts w:ascii="Times New Roman" w:hAnsi="Times New Roman"/>
          <w:sz w:val="24"/>
        </w:rPr>
        <w:t xml:space="preserve">On the levelised comparison, we charge the heat pump for the low- and medium-voltage reinforcement associated with its winter peak and the hydrogen boiler for its own last-mile network and seasonal store. Each infrastructure term is varied separately in sensitivity analysis. These choices narrow the heat pump’s median margin without reversing its central ordering, although some sensitivity combinations do.</w:t>
      </w:r>
    </w:p>
    <w:p>
      <w:pPr>
        <w:pStyle w:val="BodyText"/>
      </w:pPr>
      <w:r>
        <w:rPr>
          <w:rFonts w:ascii="Times New Roman" w:hAnsi="Times New Roman"/>
          <w:sz w:val="24"/>
        </w:rPr>
        <w:t xml:space="preserve">On that accounting the best 2050 heat pump undercuts the gas boiler in 24 of 29 countries</w:t>
      </w:r>
      <w:r>
        <w:rPr>
          <w:rFonts w:ascii="Times New Roman" w:hAnsi="Times New Roman"/>
          <w:sz w:val="24"/>
        </w:rPr>
        <w:t xml:space="preserve"> </w:t>
      </w:r>
      <w:r>
        <w:rPr>
          <w:rFonts w:ascii="Times New Roman" w:hAnsi="Times New Roman"/>
          <w:sz w:val="24"/>
        </w:rPr>
        <w:t xml:space="preserve">and the hydrogen boiler in 22. Repriced on the short-run marginal cost (SRMC) a system</w:t>
      </w:r>
      <w:r>
        <w:rPr>
          <w:rFonts w:ascii="Times New Roman" w:hAnsi="Times New Roman"/>
          <w:sz w:val="24"/>
        </w:rPr>
        <w:t xml:space="preserve"> </w:t>
      </w:r>
      <w:r>
        <w:rPr>
          <w:rFonts w:ascii="Times New Roman" w:hAnsi="Times New Roman"/>
          <w:sz w:val="24"/>
        </w:rPr>
        <w:t xml:space="preserve">operator uses, hydrogen wins the cold-snap peak in a minority of markets that grows with</w:t>
      </w:r>
      <w:r>
        <w:rPr>
          <w:rFonts w:ascii="Times New Roman" w:hAnsi="Times New Roman"/>
          <w:sz w:val="24"/>
        </w:rPr>
        <w:t xml:space="preserve"> </w:t>
      </w:r>
      <w:r>
        <w:rPr>
          <w:rFonts w:ascii="Times New Roman" w:hAnsi="Times New Roman"/>
          <w:sz w:val="24"/>
        </w:rPr>
        <w:t xml:space="preserve">policy ambition, and no tested market reaches full peaker-capital recovery across the assumed scarcity margins, the classic missing-money problem. Switzerland, a high-cost, hydro-rich and cavern-poor system reliant on imports,</w:t>
      </w:r>
      <w:r>
        <w:rPr>
          <w:rFonts w:ascii="Times New Roman" w:hAnsi="Times New Roman"/>
          <w:sz w:val="24"/>
        </w:rPr>
        <w:t xml:space="preserve"> </w:t>
      </w:r>
      <w:r>
        <w:rPr>
          <w:rFonts w:ascii="Times New Roman" w:hAnsi="Times New Roman"/>
          <w:sz w:val="24"/>
        </w:rPr>
        <w:t xml:space="preserve">provides a compact standalone case</w:t>
      </w:r>
      <w:r>
        <w:rPr>
          <w:rFonts w:ascii="Times New Roman" w:hAnsi="Times New Roman"/>
          <w:sz w:val="24"/>
        </w:rPr>
        <w:t xml:space="preserve"> </w:t>
      </w:r>
      <w:r>
        <w:rPr>
          <w:rFonts w:ascii="Times New Roman" w:hAnsi="Times New Roman"/>
          <w:sz w:val="24"/>
        </w:rPr>
        <w:t xml:space="preserve">[38], [39]</w:t>
      </w:r>
      <w:r>
        <w:rPr>
          <w:rFonts w:ascii="Times New Roman" w:hAnsi="Times New Roman"/>
          <w:sz w:val="24"/>
        </w:rPr>
        <w:t xml:space="preserve">.</w:t>
      </w:r>
    </w:p>
    <w:p>
      <w:pPr>
        <w:pStyle w:val="BodyText"/>
      </w:pPr>
      <w:r>
        <w:rPr>
          <w:rFonts w:ascii="Times New Roman" w:hAnsi="Times New Roman"/>
          <w:sz w:val="24"/>
        </w:rPr>
        <w:t xml:space="preserve">The remainder is organised as follows. Section 2 sets out the model and its</w:t>
      </w:r>
      <w:r>
        <w:rPr>
          <w:rFonts w:ascii="Times New Roman" w:hAnsi="Times New Roman"/>
          <w:sz w:val="24"/>
        </w:rPr>
        <w:t xml:space="preserve"> </w:t>
      </w:r>
      <w:r>
        <w:rPr>
          <w:rFonts w:ascii="Times New Roman" w:hAnsi="Times New Roman"/>
          <w:sz w:val="24"/>
        </w:rPr>
        <w:t xml:space="preserve">weather series, Section 3 the three tests and two cross-checks, and</w:t>
      </w:r>
      <w:r>
        <w:rPr>
          <w:rFonts w:ascii="Times New Roman" w:hAnsi="Times New Roman"/>
          <w:sz w:val="24"/>
        </w:rPr>
        <w:t xml:space="preserve"> </w:t>
      </w:r>
      <w:r>
        <w:rPr>
          <w:rFonts w:ascii="Times New Roman" w:hAnsi="Times New Roman"/>
          <w:sz w:val="24"/>
        </w:rPr>
        <w:t xml:space="preserve">Section 4 the conclusions and policy implications.</w:t>
      </w:r>
    </w:p>
    <w:bookmarkEnd w:id="10"/>
    <w:bookmarkStart w:id="21" w:name="sec:method"/>
    <w:p>
      <w:pPr>
        <w:pStyle w:val="Heading1"/>
      </w:pPr>
      <w:r>
        <w:rPr>
          <w:rStyle w:val="SectionNumber"/>
          <w:rFonts w:ascii="Times New Roman" w:hAnsi="Times New Roman"/>
          <w:sz w:val="24"/>
        </w:rPr>
        <w:t xml:space="preserve">2</w:t>
      </w:r>
      <w:r>
        <w:rPr>
          <w:rFonts w:ascii="Times New Roman" w:hAnsi="Times New Roman"/>
          <w:sz w:val="24"/>
        </w:rPr>
        <w:tab/>
      </w:r>
      <w:r>
        <w:rPr>
          <w:rFonts w:ascii="Times New Roman" w:hAnsi="Times New Roman"/>
          <w:sz w:val="24"/>
        </w:rPr>
        <w:t xml:space="preserve">Materials and methods</w:t>
      </w:r>
    </w:p>
    <w:p>
      <w:pPr>
        <w:pStyle w:val="FirstParagraph"/>
      </w:pPr>
      <w:r>
        <w:rPr>
          <w:rFonts w:ascii="Times New Roman" w:hAnsi="Times New Roman"/>
          <w:sz w:val="24"/>
        </w:rPr>
        <w:t xml:space="preserve">We assess where decarbonised hydrogen can compete with heat-pump electrification for</w:t>
      </w:r>
      <w:r>
        <w:rPr>
          <w:rFonts w:ascii="Times New Roman" w:hAnsi="Times New Roman"/>
          <w:sz w:val="24"/>
        </w:rPr>
        <w:t xml:space="preserve"> </w:t>
      </w:r>
      <w:r>
        <w:rPr>
          <w:rFonts w:ascii="Times New Roman" w:hAnsi="Times New Roman"/>
          <w:sz w:val="24"/>
        </w:rPr>
        <w:t xml:space="preserve">European building heat using a spatially resolved, bottom-up techno-economic model coupled</w:t>
      </w:r>
      <w:r>
        <w:rPr>
          <w:rFonts w:ascii="Times New Roman" w:hAnsi="Times New Roman"/>
          <w:sz w:val="24"/>
        </w:rPr>
        <w:t xml:space="preserve"> </w:t>
      </w:r>
      <w:r>
        <w:rPr>
          <w:rFonts w:ascii="Times New Roman" w:hAnsi="Times New Roman"/>
          <w:sz w:val="24"/>
        </w:rPr>
        <w:t xml:space="preserve">to a merit-order representation of the power sector. It is a chained simulation rather than</w:t>
      </w:r>
      <w:r>
        <w:rPr>
          <w:rFonts w:ascii="Times New Roman" w:hAnsi="Times New Roman"/>
          <w:sz w:val="24"/>
        </w:rPr>
        <w:t xml:space="preserve"> </w:t>
      </w:r>
      <w:r>
        <w:rPr>
          <w:rFonts w:ascii="Times New Roman" w:hAnsi="Times New Roman"/>
          <w:sz w:val="24"/>
        </w:rPr>
        <w:t xml:space="preserve">a system-wide optimisation, reconstructing useful heat demand region by region, splitting</w:t>
      </w:r>
      <w:r>
        <w:rPr>
          <w:rFonts w:ascii="Times New Roman" w:hAnsi="Times New Roman"/>
          <w:sz w:val="24"/>
        </w:rPr>
        <w:t xml:space="preserve"> </w:t>
      </w:r>
      <w:r>
        <w:rPr>
          <w:rFonts w:ascii="Times New Roman" w:hAnsi="Times New Roman"/>
          <w:sz w:val="24"/>
        </w:rPr>
        <w:t xml:space="preserve">it across eight technologies, pricing each on a levelised basis and then putting hydrogen</w:t>
      </w:r>
      <w:r>
        <w:rPr>
          <w:rFonts w:ascii="Times New Roman" w:hAnsi="Times New Roman"/>
          <w:sz w:val="24"/>
        </w:rPr>
        <w:t xml:space="preserve"> </w:t>
      </w:r>
      <w:r>
        <w:rPr>
          <w:rFonts w:ascii="Times New Roman" w:hAnsi="Times New Roman"/>
          <w:sz w:val="24"/>
        </w:rPr>
        <w:t xml:space="preserve">against its rivals in operating-cost dispatch tests, so hydrogen’s share is set</w:t>
      </w:r>
      <w:r>
        <w:rPr>
          <w:rFonts w:ascii="Times New Roman" w:hAnsi="Times New Roman"/>
          <w:sz w:val="24"/>
        </w:rPr>
        <w:t xml:space="preserve"> </w:t>
      </w:r>
      <w:r>
        <w:rPr>
          <w:rFonts w:ascii="Times New Roman" w:hAnsi="Times New Roman"/>
          <w:sz w:val="24"/>
        </w:rPr>
        <w:t xml:space="preserve">exogenously and then tested, never co-optimised (Supplementary Section S1.1). Coverage spans the EU-27, the United Kingdom and</w:t>
      </w:r>
      <w:r>
        <w:rPr>
          <w:rFonts w:ascii="Times New Roman" w:hAnsi="Times New Roman"/>
          <w:sz w:val="24"/>
        </w:rPr>
        <w:t xml:space="preserve"> </w:t>
      </w:r>
      <w:r>
        <w:rPr>
          <w:rFonts w:ascii="Times New Roman" w:hAnsi="Times New Roman"/>
          <w:sz w:val="24"/>
        </w:rPr>
        <w:t xml:space="preserve">Switzerland. Demand is resolved at the third level of the Nomenclature of Territorial</w:t>
      </w:r>
      <w:r>
        <w:rPr>
          <w:rFonts w:ascii="Times New Roman" w:hAnsi="Times New Roman"/>
          <w:sz w:val="24"/>
        </w:rPr>
        <w:t xml:space="preserve"> </w:t>
      </w:r>
      <w:r>
        <w:rPr>
          <w:rFonts w:ascii="Times New Roman" w:hAnsi="Times New Roman"/>
          <w:sz w:val="24"/>
        </w:rPr>
        <w:t xml:space="preserve">Units for Statistics as a 1</w:t>
      </w:r>
      <w:r>
        <w:rPr>
          <w:rFonts w:ascii="Times New Roman" w:hAnsi="Times New Roman"/>
          <w:sz w:val="24"/>
        </w:rPr>
        <w:t xml:space="preserve">,</w:t>
      </w:r>
      <w:r>
        <w:rPr>
          <w:rFonts w:ascii="Times New Roman" w:hAnsi="Times New Roman"/>
          <w:sz w:val="24"/>
        </w:rPr>
        <w:t xml:space="preserve">369-region NUTS3 demand surface, then aggregated to country</w:t>
      </w:r>
      <w:r>
        <w:rPr>
          <w:rFonts w:ascii="Times New Roman" w:hAnsi="Times New Roman"/>
          <w:sz w:val="24"/>
        </w:rPr>
        <w:t xml:space="preserve"> </w:t>
      </w:r>
      <w:r>
        <w:rPr>
          <w:rFonts w:ascii="Times New Roman" w:hAnsi="Times New Roman"/>
          <w:sz w:val="24"/>
        </w:rPr>
        <w:t xml:space="preserve">level before the economic tests. The model runs on the milestone years 2025, 2030, 2040 and 2050,</w:t>
      </w:r>
      <w:r>
        <w:rPr>
          <w:rFonts w:ascii="Times New Roman" w:hAnsi="Times New Roman"/>
          <w:sz w:val="24"/>
        </w:rPr>
        <w:t xml:space="preserve"> </w:t>
      </w:r>
      <w:r>
        <w:rPr>
          <w:rFonts w:ascii="Times New Roman" w:hAnsi="Times New Roman"/>
          <w:sz w:val="24"/>
        </w:rPr>
        <w:t xml:space="preserve">with 2025 the common anchor for demand, technology-share and cost trajectories alike</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fig_1 \h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w:t>
      </w:r>
    </w:p>
    <w:bookmarkStart w:id="14" w:name="fig:arch"/>
    <w:p>
      <w:pPr>
        <w:pStyle w:val="CaptionedFigure"/>
        <w:keepNext/>
      </w:pPr>
      <w:r>
        <w:rPr>
          <w:rFonts w:ascii="Times New Roman" w:hAnsi="Times New Roman"/>
          <w:sz w:val="24"/>
        </w:rPr>
        <w:drawing>
          <wp:inline>
            <wp:extent cx="5753100" cy="5135830"/>
            <wp:effectExtent b="0" l="0" r="0" t="0"/>
            <wp:docPr descr="" title="" id="12" name="Picture"/>
            <a:graphic>
              <a:graphicData uri="http://schemas.openxmlformats.org/drawingml/2006/picture">
                <pic:pic>
                  <pic:nvPicPr>
                    <pic:cNvPr descr="P00_model_flow.png" id="13" name="Picture"/>
                    <pic:cNvPicPr>
                      <a:picLocks noChangeArrowheads="1" noChangeAspect="1"/>
                    </pic:cNvPicPr>
                  </pic:nvPicPr>
                  <pic:blipFill>
                    <a:blip r:embed="rId11"/>
                    <a:stretch>
                      <a:fillRect/>
                    </a:stretch>
                  </pic:blipFill>
                  <pic:spPr bwMode="auto">
                    <a:xfrm>
                      <a:off x="0" y="0"/>
                      <a:ext cx="5753100" cy="5135830"/>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3" w:name="fig_1"/>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bookmarkEnd w:id="1003"/>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Model architecture.</w:t>
      </w:r>
      <w:r>
        <w:rPr>
          <w:rFonts w:ascii="Times New Roman" w:hAnsi="Times New Roman"/>
          <w:sz w:val="24"/>
        </w:rPr>
        <w:t xml:space="preserve"> </w:t>
      </w:r>
      <w:r>
        <w:rPr>
          <w:rFonts w:ascii="Times New Roman" w:hAnsi="Times New Roman"/>
          <w:sz w:val="24"/>
        </w:rPr>
        <w:t xml:space="preserve">Inputs, the demand reconstruction and the scenario</w:t>
      </w:r>
      <w:r>
        <w:rPr>
          <w:rFonts w:ascii="Times New Roman" w:hAnsi="Times New Roman"/>
          <w:sz w:val="24"/>
        </w:rPr>
        <w:t xml:space="preserve"> </w:t>
      </w:r>
      <w:r>
        <w:rPr>
          <w:rFonts w:ascii="Times New Roman" w:hAnsi="Times New Roman"/>
          <w:sz w:val="24"/>
        </w:rPr>
        <w:t xml:space="preserve">draws feed three tests applied in order.</w:t>
      </w:r>
    </w:p>
    <w:bookmarkEnd w:id="14"/>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the tests address distinct operating roles, so a technology may lose the annual comparison and still compete at a cold-snap peak. The first two are cost comparisons at different time scales, annual and peak-hour, whereas the third asks whether the plant that wins the peak can be financed at all. The text below and the Supplementary Information give the data sources, the price paths, the adder bounds and the parameter ranges the boxes summarise.</w:t>
      </w:r>
    </w:p>
    <w:p>
      <w:pPr>
        <w:pStyle w:val="BodyText"/>
      </w:pPr>
      <w:r>
        <w:rPr>
          <w:rFonts w:ascii="Times New Roman" w:hAnsi="Times New Roman"/>
          <w:sz w:val="24"/>
        </w:rPr>
        <w:t xml:space="preserve">The demand layer is built before the technology layer. A bottom-up strand reconstructs</w:t>
      </w:r>
      <w:r>
        <w:rPr>
          <w:rFonts w:ascii="Times New Roman" w:hAnsi="Times New Roman"/>
          <w:sz w:val="24"/>
        </w:rPr>
        <w:t xml:space="preserve"> </w:t>
      </w:r>
      <w:r>
        <w:rPr>
          <w:rFonts w:ascii="Times New Roman" w:hAnsi="Times New Roman"/>
          <w:sz w:val="24"/>
        </w:rPr>
        <w:t xml:space="preserve">residential heat from open building footprints and a harmonised archetype typology,</w:t>
      </w:r>
      <w:r>
        <w:rPr>
          <w:rFonts w:ascii="Times New Roman" w:hAnsi="Times New Roman"/>
          <w:sz w:val="24"/>
        </w:rPr>
        <w:t xml:space="preserve"> </w:t>
      </w:r>
      <w:r>
        <w:rPr>
          <w:rFonts w:ascii="Times New Roman" w:hAnsi="Times New Roman"/>
          <w:sz w:val="24"/>
        </w:rPr>
        <w:t xml:space="preserve">while an independent top-down baseline from the Hotmaps regional database</w:t>
      </w:r>
      <w:r>
        <w:rPr>
          <w:rFonts w:ascii="Times New Roman" w:hAnsi="Times New Roman"/>
          <w:sz w:val="24"/>
        </w:rPr>
        <w:t xml:space="preserve"> </w:t>
      </w:r>
      <w:r>
        <w:rPr>
          <w:rFonts w:ascii="Times New Roman" w:hAnsi="Times New Roman"/>
          <w:sz w:val="24"/>
        </w:rPr>
        <w:t xml:space="preserve">[40]</w:t>
      </w:r>
      <w:r>
        <w:rPr>
          <w:rFonts w:ascii="Times New Roman" w:hAnsi="Times New Roman"/>
          <w:sz w:val="24"/>
        </w:rPr>
        <w:t xml:space="preserve">, with census-derived building-type shares</w:t>
      </w:r>
      <w:r>
        <w:rPr>
          <w:rFonts w:ascii="Times New Roman" w:hAnsi="Times New Roman"/>
          <w:sz w:val="24"/>
        </w:rPr>
        <w:t xml:space="preserve"> </w:t>
      </w:r>
      <w:r>
        <w:rPr>
          <w:rFonts w:ascii="Times New Roman" w:hAnsi="Times New Roman"/>
          <w:sz w:val="24"/>
        </w:rPr>
        <w:t xml:space="preserve">[41], [42]</w:t>
      </w:r>
      <w:r>
        <w:rPr>
          <w:rFonts w:ascii="Times New Roman" w:hAnsi="Times New Roman"/>
          <w:sz w:val="24"/>
        </w:rPr>
        <w:t xml:space="preserve">, benchmarks it. The bottom-up reconstruction is 0.8 per cent below the benchmark in aggregate, and 28 of</w:t>
      </w:r>
      <w:r>
        <w:rPr>
          <w:rFonts w:ascii="Times New Roman" w:hAnsi="Times New Roman"/>
          <w:sz w:val="24"/>
        </w:rPr>
        <w:t xml:space="preserve"> </w:t>
      </w:r>
      <w:r>
        <w:rPr>
          <w:rFonts w:ascii="Times New Roman" w:hAnsi="Times New Roman"/>
          <w:sz w:val="24"/>
        </w:rPr>
        <w:t xml:space="preserve">the 29 country estimates lie within</w:t>
      </w:r>
      <w:r>
        <w:rPr>
          <w:rFonts w:ascii="Times New Roman" w:hAnsi="Times New Roman"/>
          <w:sz w:val="24"/>
        </w:rPr>
        <w:t xml:space="preserve"> </w:t>
      </w:r>
      <w:r>
        <w:t xml:space="preserve">±25</w:t>
      </w:r>
      <w:r>
        <w:rPr>
          <w:rFonts w:ascii="Times New Roman" w:hAnsi="Times New Roman"/>
          <w:sz w:val="24"/>
        </w:rPr>
        <w:t xml:space="preserve"> per cent. Section 3.1 gives the stricter vintage-matched</w:t>
      </w:r>
      <w:r>
        <w:rPr>
          <w:rFonts w:ascii="Times New Roman" w:hAnsi="Times New Roman"/>
          <w:sz w:val="24"/>
        </w:rPr>
        <w:t xml:space="preserve"> </w:t>
      </w:r>
      <w:r>
        <w:rPr>
          <w:rFonts w:ascii="Times New Roman" w:hAnsi="Times New Roman"/>
          <w:sz w:val="24"/>
        </w:rPr>
        <w:t xml:space="preserve">comparison (Supplementary Section S1.2). National demand is then projected forward from 2025 on a multi-driver ratio identity,</w:t>
      </w:r>
      <w:r>
        <w:rPr>
          <w:rFonts w:ascii="Times New Roman" w:hAnsi="Times New Roman"/>
          <w:sz w:val="24"/>
        </w:rPr>
        <w:t xml:space="preserve"> </w:t>
      </w:r>
      <w:r>
        <w:rPr>
          <w:rFonts w:ascii="Times New Roman" w:hAnsi="Times New Roman"/>
          <w:sz w:val="24"/>
        </w:rPr>
        <w:t xml:space="preserve">with population growth and falling household size adding demand and envelope renovation</w:t>
      </w:r>
      <w:r>
        <w:rPr>
          <w:rFonts w:ascii="Times New Roman" w:hAnsi="Times New Roman"/>
          <w:sz w:val="24"/>
        </w:rPr>
        <w:t xml:space="preserve"> </w:t>
      </w:r>
      <w:r>
        <w:rPr>
          <w:rFonts w:ascii="Times New Roman" w:hAnsi="Times New Roman"/>
          <w:sz w:val="24"/>
        </w:rPr>
        <w:t xml:space="preserve">removing it. Boundary and terrain typologies come from the Eurostat GISCO service</w:t>
      </w:r>
      <w:r>
        <w:rPr>
          <w:rFonts w:ascii="Times New Roman" w:hAnsi="Times New Roman"/>
          <w:sz w:val="24"/>
        </w:rPr>
        <w:t xml:space="preserve"> </w:t>
      </w:r>
      <w:r>
        <w:rPr>
          <w:rFonts w:ascii="Times New Roman" w:hAnsi="Times New Roman"/>
          <w:sz w:val="24"/>
        </w:rPr>
        <w:t xml:space="preserve">[43]</w:t>
      </w:r>
      <w:r>
        <w:rPr>
          <w:rFonts w:ascii="Times New Roman" w:hAnsi="Times New Roman"/>
          <w:sz w:val="24"/>
        </w:rPr>
      </w:r>
      <w:r>
        <w:rPr>
          <w:rFonts w:ascii="Times New Roman" w:hAnsi="Times New Roman" w:cs="Times New Roman"/>
          <w:sz w:val="24"/>
        </w:rPr>
        <w:t xml:space="preserve">, and Fig. </w:t>
      </w:r>
      <w:r>
        <w:rPr>
          <w:rFonts w:ascii="Times New Roman" w:hAnsi="Times New Roman" w:cs="Times New Roman"/>
          <w:sz w:val="24"/>
        </w:rPr>
        <w:fldChar w:fldCharType="begin"/>
      </w:r>
      <w:r>
        <w:rPr>
          <w:rFonts w:ascii="Times New Roman" w:hAnsi="Times New Roman" w:cs="Times New Roman"/>
          <w:sz w:val="24"/>
        </w:rPr>
        <w:instrText xml:space="preserve"> REF fig_2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 shows the demand field, whose</w:t>
      </w:r>
      <w:r>
        <w:rPr>
          <w:rFonts w:ascii="Times New Roman" w:hAnsi="Times New Roman"/>
          <w:sz w:val="24"/>
        </w:rPr>
        <w:t xml:space="preserve"> </w:t>
      </w:r>
      <w:r>
        <w:rPr>
          <w:rFonts w:ascii="Times New Roman" w:hAnsi="Times New Roman"/>
          <w:sz w:val="24"/>
        </w:rPr>
        <w:t xml:space="preserve">steep within-border gradient a country-resolution model averages away.</w:t>
      </w:r>
    </w:p>
    <w:bookmarkStart w:id="18" w:name="fig:nuts3map"/>
    <w:p>
      <w:pPr>
        <w:pStyle w:val="CaptionedFigure"/>
        <w:keepNext/>
      </w:pPr>
      <w:r>
        <w:rPr>
          <w:rFonts w:ascii="Times New Roman" w:hAnsi="Times New Roman"/>
          <w:sz w:val="24"/>
        </w:rPr>
        <w:drawing>
          <wp:inline>
            <wp:extent cx="4551374" cy="5358063"/>
            <wp:effectExtent b="0" l="0" r="0" t="0"/>
            <wp:docPr descr="" title="" id="16" name="Picture"/>
            <a:graphic>
              <a:graphicData uri="http://schemas.openxmlformats.org/drawingml/2006/picture">
                <pic:pic>
                  <pic:nvPicPr>
                    <pic:cNvPr descr="P01_nuts3_map.png" id="17" name="Picture"/>
                    <pic:cNvPicPr>
                      <a:picLocks noChangeArrowheads="1" noChangeAspect="1"/>
                    </pic:cNvPicPr>
                  </pic:nvPicPr>
                  <pic:blipFill>
                    <a:blip r:embed="rId15"/>
                    <a:stretch>
                      <a:fillRect/>
                    </a:stretch>
                  </pic:blipFill>
                  <pic:spPr bwMode="auto">
                    <a:xfrm>
                      <a:off x="0" y="0"/>
                      <a:ext cx="4551374" cy="5358063"/>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4" w:name="fig_2"/>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bookmarkEnd w:id="1004"/>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Useful residential heat demand by NUTS3 region, 2025.</w:t>
      </w:r>
      <w:r>
        <w:rPr>
          <w:rFonts w:ascii="Times New Roman" w:hAnsi="Times New Roman"/>
          <w:sz w:val="24"/>
        </w:rPr>
        <w:t xml:space="preserve"> </w:t>
      </w:r>
      <w:r>
        <w:rPr>
          <w:rFonts w:ascii="Times New Roman" w:hAnsi="Times New Roman"/>
          <w:sz w:val="24"/>
        </w:rPr>
        <w:t xml:space="preserve">From the bottom-up build.</w:t>
      </w:r>
    </w:p>
    <w:bookmarkEnd w:id="18"/>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the colour scale is logarithmic over 0.3–12 TWh/yr, close to the 2nd and 98th percentiles of the mapped values, and the colourbar arrowheads mark the regions outside that range.</w:t>
      </w:r>
    </w:p>
    <w:p>
      <w:pPr>
        <w:pStyle w:val="BodyText"/>
      </w:pPr>
      <w:r>
        <w:rPr>
          <w:rFonts w:ascii="Times New Roman" w:hAnsi="Times New Roman"/>
          <w:sz w:val="24"/>
        </w:rPr>
        <w:t xml:space="preserve">Each of the eight technologies, comprising gas, oil and biomass boilers, a resistance</w:t>
      </w:r>
      <w:r>
        <w:rPr>
          <w:rFonts w:ascii="Times New Roman" w:hAnsi="Times New Roman"/>
          <w:sz w:val="24"/>
        </w:rPr>
        <w:t xml:space="preserve"> </w:t>
      </w:r>
      <w:r>
        <w:rPr>
          <w:rFonts w:ascii="Times New Roman" w:hAnsi="Times New Roman"/>
          <w:sz w:val="24"/>
        </w:rPr>
        <w:t xml:space="preserve">heater, air-source and ground-source heat pumps, district heat and a hydrogen boiler, is</w:t>
      </w:r>
      <w:r>
        <w:rPr>
          <w:rFonts w:ascii="Times New Roman" w:hAnsi="Times New Roman"/>
          <w:sz w:val="24"/>
        </w:rPr>
        <w:t xml:space="preserve"> </w:t>
      </w:r>
      <w:r>
        <w:rPr>
          <w:rFonts w:ascii="Times New Roman" w:hAnsi="Times New Roman"/>
          <w:sz w:val="24"/>
        </w:rPr>
        <w:t xml:space="preserve">priced on a levelised cost of heat that annualises capital at the country</w:t>
      </w:r>
      <w:r>
        <w:rPr>
          <w:rFonts w:ascii="Times New Roman" w:hAnsi="Times New Roman"/>
          <w:sz w:val="24"/>
        </w:rPr>
        <w:t xml:space="preserve"> </w:t>
      </w:r>
      <w:r>
        <w:rPr>
          <w:rFonts w:ascii="Times New Roman" w:hAnsi="Times New Roman"/>
          <w:sz w:val="24"/>
        </w:rPr>
        <w:t xml:space="preserve">weighted-average cost of capital and adds fuel, fixed and variable operating costs, in</w:t>
      </w:r>
      <w:r>
        <w:rPr>
          <w:rFonts w:ascii="Times New Roman" w:hAnsi="Times New Roman"/>
          <w:sz w:val="24"/>
        </w:rPr>
        <w:t xml:space="preserve"> </w:t>
      </w:r>
      <w:r>
        <w:rPr>
          <w:rFonts w:ascii="Times New Roman" w:hAnsi="Times New Roman"/>
          <w:sz w:val="24"/>
        </w:rPr>
        <w:t xml:space="preserve">real EUR</w:t>
      </w:r>
      <w:r>
        <w:rPr>
          <w:vertAlign w:val="subscript"/>
        </w:rPr>
        <w:t xml:space="preserve">2024</w:t>
      </w:r>
      <w:r>
        <w:rPr>
          <w:rFonts w:ascii="Times New Roman" w:hAnsi="Times New Roman"/>
          <w:sz w:val="24"/>
        </w:rPr>
        <w:t xml:space="preserve"> </w:t>
      </w:r>
      <w:r>
        <w:rPr>
          <w:rFonts w:ascii="Times New Roman" w:hAnsi="Times New Roman"/>
          <w:sz w:val="24"/>
        </w:rPr>
        <w:t xml:space="preserve">throughout (Supplementary Section S1.3). Equipment CAPEX and fixed O&amp;M are expressed per kW of useful-heat output, sized to peak useful-heat demand, and annualised over useful-heat full-load hours (Supplementary Section S1.3). Techno-economic parameters are anchored to the Danish Energy Agency Technology Catalogue</w:t>
      </w:r>
      <w:r>
        <w:rPr>
          <w:rFonts w:ascii="Times New Roman" w:hAnsi="Times New Roman"/>
          <w:sz w:val="24"/>
        </w:rPr>
        <w:t xml:space="preserve"> </w:t>
      </w:r>
      <w:r>
        <w:rPr>
          <w:rFonts w:ascii="Times New Roman" w:hAnsi="Times New Roman"/>
          <w:sz w:val="24"/>
        </w:rPr>
        <w:t xml:space="preserve">[44]</w:t>
      </w:r>
      <w:r>
        <w:rPr>
          <w:rFonts w:ascii="Times New Roman" w:hAnsi="Times New Roman"/>
          <w:sz w:val="24"/>
        </w:rPr>
        <w:t xml:space="preserve"> </w:t>
      </w:r>
      <w:r>
        <w:rPr>
          <w:rFonts w:ascii="Times New Roman" w:hAnsi="Times New Roman"/>
          <w:sz w:val="24"/>
        </w:rPr>
        <w:t xml:space="preserve">and cross-checked against JRC, IEA and IRENA cost data</w:t>
      </w:r>
      <w:r>
        <w:rPr>
          <w:rFonts w:ascii="Times New Roman" w:hAnsi="Times New Roman"/>
          <w:sz w:val="24"/>
        </w:rPr>
        <w:t xml:space="preserve"> </w:t>
      </w:r>
      <w:r>
        <w:rPr>
          <w:rFonts w:ascii="Times New Roman" w:hAnsi="Times New Roman"/>
          <w:sz w:val="24"/>
        </w:rPr>
        <w:t xml:space="preserve">[5], [45], [46]</w:t>
      </w:r>
      <w:r>
        <w:rPr>
          <w:rFonts w:ascii="Times New Roman" w:hAnsi="Times New Roman"/>
          <w:sz w:val="24"/>
        </w:rPr>
        <w:t xml:space="preserve">. Fossil fuels carry the second emissions trading system for buildings and road transport</w:t>
      </w:r>
      <w:r>
        <w:rPr>
          <w:rFonts w:ascii="Times New Roman" w:hAnsi="Times New Roman"/>
          <w:sz w:val="24"/>
        </w:rPr>
        <w:t xml:space="preserve"> </w:t>
      </w:r>
      <w:r>
        <w:rPr>
          <w:rFonts w:ascii="Times New Roman" w:hAnsi="Times New Roman"/>
          <w:sz w:val="24"/>
        </w:rPr>
        <w:t xml:space="preserve">(ETS2) from its 2027 launch</w:t>
      </w:r>
      <w:r>
        <w:rPr>
          <w:rFonts w:ascii="Times New Roman" w:hAnsi="Times New Roman"/>
          <w:sz w:val="24"/>
        </w:rPr>
        <w:t xml:space="preserve"> </w:t>
      </w:r>
      <w:r>
        <w:rPr>
          <w:rFonts w:ascii="Times New Roman" w:hAnsi="Times New Roman"/>
          <w:sz w:val="24"/>
        </w:rPr>
        <w:t xml:space="preserve">[47]</w:t>
      </w:r>
      <w:r>
        <w:rPr>
          <w:rFonts w:ascii="Times New Roman" w:hAnsi="Times New Roman"/>
          <w:sz w:val="24"/>
        </w:rPr>
        <w:t xml:space="preserve">, green hydrogen follows</w:t>
      </w:r>
      <w:r>
        <w:rPr>
          <w:rFonts w:ascii="Times New Roman" w:hAnsi="Times New Roman"/>
          <w:sz w:val="24"/>
        </w:rPr>
        <w:t xml:space="preserve"> </w:t>
      </w:r>
      <w:r>
        <w:rPr>
          <w:rFonts w:ascii="Times New Roman" w:hAnsi="Times New Roman"/>
          <w:sz w:val="24"/>
        </w:rPr>
        <w:t xml:space="preserve">the European Hydrogen Observatory central delivered-cost trajectory</w:t>
      </w:r>
      <w:r>
        <w:rPr>
          <w:rFonts w:ascii="Times New Roman" w:hAnsi="Times New Roman"/>
          <w:sz w:val="24"/>
        </w:rPr>
        <w:t xml:space="preserve"> </w:t>
      </w:r>
      <w:r>
        <w:rPr>
          <w:rFonts w:ascii="Times New Roman" w:hAnsi="Times New Roman"/>
          <w:sz w:val="24"/>
        </w:rPr>
        <w:t xml:space="preserve">[48]</w:t>
      </w:r>
      <w:r>
        <w:rPr>
          <w:rFonts w:ascii="Times New Roman" w:hAnsi="Times New Roman"/>
          <w:sz w:val="24"/>
        </w:rPr>
        <w:t xml:space="preserve">, and retail gas and electricity prices are Eurostat</w:t>
      </w:r>
      <w:r>
        <w:rPr>
          <w:rFonts w:ascii="Times New Roman" w:hAnsi="Times New Roman"/>
          <w:sz w:val="24"/>
        </w:rPr>
        <w:t xml:space="preserve"> </w:t>
      </w:r>
      <w:r>
        <w:rPr>
          <w:rFonts w:ascii="Times New Roman" w:hAnsi="Times New Roman"/>
          <w:sz w:val="24"/>
        </w:rPr>
        <w:t xml:space="preserve">first-half-2025 figures</w:t>
      </w:r>
      <w:r>
        <w:rPr>
          <w:rFonts w:ascii="Times New Roman" w:hAnsi="Times New Roman"/>
          <w:sz w:val="24"/>
        </w:rPr>
        <w:t xml:space="preserve"> </w:t>
      </w:r>
      <w:r>
        <w:rPr>
          <w:rFonts w:ascii="Times New Roman" w:hAnsi="Times New Roman"/>
          <w:sz w:val="24"/>
        </w:rPr>
        <w:t xml:space="preserve">[49], [50]</w:t>
      </w:r>
      <w:r>
        <w:rPr>
          <w:rFonts w:ascii="Times New Roman" w:hAnsi="Times New Roman"/>
          <w:sz w:val="24"/>
        </w:rPr>
        <w:t xml:space="preserve">.</w:t>
      </w:r>
    </w:p>
    <w:p>
      <w:pPr>
        <w:pStyle w:val="BodyText"/>
      </w:pPr>
      <w:r>
        <w:rPr>
          <w:rFonts w:ascii="Times New Roman" w:hAnsi="Times New Roman"/>
          <w:sz w:val="24"/>
        </w:rPr>
        <w:t xml:space="preserve">An operational CO</w:t>
      </w:r>
      <w:r>
        <w:rPr>
          <w:vertAlign w:val="subscript"/>
        </w:rPr>
        <w:t xml:space="preserve">2</w:t>
      </w:r>
      <w:r>
        <w:rPr>
          <w:rFonts w:ascii="Times New Roman" w:hAnsi="Times New Roman"/>
          <w:sz w:val="24"/>
        </w:rPr>
        <w:t xml:space="preserve"> </w:t>
      </w:r>
      <w:r>
        <w:rPr>
          <w:rFonts w:ascii="Times New Roman" w:hAnsi="Times New Roman"/>
          <w:sz w:val="24"/>
        </w:rPr>
        <w:t xml:space="preserve">inventory runs alongside the cost layer on the same technology split, combining direct combustion with attributed electricity and district-heat generation intensities and excluding upstream, infrastructure and embodied emissions. It charges</w:t>
      </w:r>
      <w:r>
        <w:rPr>
          <w:rFonts w:ascii="Times New Roman" w:hAnsi="Times New Roman"/>
          <w:sz w:val="24"/>
        </w:rPr>
        <w:t xml:space="preserve"> </w:t>
      </w:r>
      <w:r>
        <w:rPr>
          <w:rFonts w:ascii="Times New Roman" w:hAnsi="Times New Roman"/>
          <w:sz w:val="24"/>
        </w:rPr>
        <w:t xml:space="preserve">gas and oil fixed combustion factors</w:t>
      </w:r>
      <w:r>
        <w:rPr>
          <w:rFonts w:ascii="Times New Roman" w:hAnsi="Times New Roman"/>
          <w:sz w:val="24"/>
        </w:rPr>
        <w:t xml:space="preserve"> </w:t>
      </w:r>
      <w:r>
        <w:rPr>
          <w:rFonts w:ascii="Times New Roman" w:hAnsi="Times New Roman"/>
          <w:sz w:val="24"/>
        </w:rPr>
        <w:t xml:space="preserve">[51]</w:t>
      </w:r>
      <w:r>
        <w:rPr>
          <w:rFonts w:ascii="Times New Roman" w:hAnsi="Times New Roman"/>
          <w:sz w:val="24"/>
        </w:rPr>
        <w:t xml:space="preserve">, biomass and hydrogen zero</w:t>
      </w:r>
      <w:r>
        <w:rPr>
          <w:rFonts w:ascii="Times New Roman" w:hAnsi="Times New Roman"/>
          <w:sz w:val="24"/>
        </w:rPr>
        <w:t xml:space="preserve"> </w:t>
      </w:r>
      <w:r>
        <w:rPr>
          <w:rFonts w:ascii="Times New Roman" w:hAnsi="Times New Roman"/>
          <w:sz w:val="24"/>
        </w:rPr>
        <w:t xml:space="preserve">on the European renewable-fuel convention, and electricity and district heat</w:t>
      </w:r>
      <w:r>
        <w:rPr>
          <w:rFonts w:ascii="Times New Roman" w:hAnsi="Times New Roman"/>
          <w:sz w:val="24"/>
        </w:rPr>
        <w:t xml:space="preserve"> </w:t>
      </w:r>
      <w:r>
        <w:rPr>
          <w:rFonts w:ascii="Times New Roman" w:hAnsi="Times New Roman"/>
          <w:sz w:val="24"/>
        </w:rPr>
        <w:t xml:space="preserve">country-by-year intensities that each scenario’s grid lever scales</w:t>
      </w:r>
      <w:r>
        <w:rPr>
          <w:rFonts w:ascii="Times New Roman" w:hAnsi="Times New Roman"/>
          <w:sz w:val="24"/>
        </w:rPr>
        <w:t xml:space="preserve"> </w:t>
      </w:r>
      <w:r>
        <w:rPr>
          <w:rFonts w:ascii="Times New Roman" w:hAnsi="Times New Roman"/>
          <w:sz w:val="24"/>
        </w:rPr>
        <w:t xml:space="preserve">[52], [53]</w:t>
      </w:r>
      <w:r>
        <w:rPr>
          <w:rFonts w:ascii="Times New Roman" w:hAnsi="Times New Roman"/>
          <w:sz w:val="24"/>
        </w:rPr>
        <w:t xml:space="preserve">. Those paths are calibrated</w:t>
      </w:r>
      <w:r>
        <w:rPr>
          <w:rFonts w:ascii="Times New Roman" w:hAnsi="Times New Roman"/>
          <w:sz w:val="24"/>
        </w:rPr>
        <w:t xml:space="preserve"> </w:t>
      </w:r>
      <w:r>
        <w:rPr>
          <w:rFonts w:ascii="Times New Roman" w:hAnsi="Times New Roman"/>
          <w:sz w:val="24"/>
        </w:rPr>
        <w:t xml:space="preserve">trajectories rather than published projections, so the emissions levels inherit that</w:t>
      </w:r>
      <w:r>
        <w:rPr>
          <w:rFonts w:ascii="Times New Roman" w:hAnsi="Times New Roman"/>
          <w:sz w:val="24"/>
        </w:rPr>
        <w:t xml:space="preserve"> </w:t>
      </w:r>
      <w:r>
        <w:rPr>
          <w:rFonts w:ascii="Times New Roman" w:hAnsi="Times New Roman"/>
          <w:sz w:val="24"/>
        </w:rPr>
        <w:t xml:space="preserve">calibration whereas the scenario ranking does not (Supplementary Section S1.4).</w:t>
      </w:r>
      <w:r>
        <w:rPr>
          <w:rFonts w:ascii="Times New Roman" w:hAnsi="Times New Roman"/>
          <w:sz w:val="24"/>
        </w:rPr>
        <w:t xml:space="preserve"> </w:t>
      </w:r>
      <w:r>
        <w:rPr>
          <w:rFonts w:ascii="Times New Roman" w:hAnsi="Times New Roman"/>
          <w:sz w:val="24"/>
        </w:rPr>
        <w:t xml:space="preserve">Furthermore, two last-mile network charges apply by default, one to each carrier, so that</w:t>
      </w:r>
      <w:r>
        <w:rPr>
          <w:rFonts w:ascii="Times New Roman" w:hAnsi="Times New Roman"/>
          <w:sz w:val="24"/>
        </w:rPr>
        <w:t xml:space="preserve"> </w:t>
      </w:r>
      <w:r>
        <w:rPr>
          <w:rFonts w:ascii="Times New Roman" w:hAnsi="Times New Roman"/>
          <w:sz w:val="24"/>
        </w:rPr>
        <w:t xml:space="preserve">neither is priced as though its delivery were free. The hydrogen boiler carries a coverage-weighted blend of conversion and new build at a median €13.4/MWh, and the heat pump a low- and medium-voltage reinforcement adder at a median €4.9/MWh, roughly 2.7 times the electric delivery charge before fuel.</w:t>
      </w:r>
    </w:p>
    <w:p>
      <w:pPr>
        <w:pStyle w:val="BodyText"/>
      </w:pPr>
      <w:r>
        <w:rPr>
          <w:rFonts w:ascii="Times New Roman" w:hAnsi="Times New Roman"/>
          <w:sz w:val="24"/>
        </w:rPr>
        <w:t xml:space="preserve">Within each draw the observed 2025 country shares are interpolated to the sampled 2050 heat-pump, district-heat, hydrogen and fossil targets using sampled power-law uptake exponents, with NUTS3 feasibility factors scaling the heat-pump and district-heat targets. Among the non-fossil options a cost-responsive component then reallocates share on softmax weights</w:t>
      </w:r>
      <w:r>
        <w:rPr>
          <w:rFonts w:ascii="Times New Roman" w:hAnsi="Times New Roman"/>
          <w:sz w:val="24"/>
        </w:rPr>
        <w:t xml:space="preserve"> </w:t>
      </w:r>
      <m:oMath>
        <m:sSub>
          <m:e>
            <m:r>
              <m:t>w</m:t>
            </m:r>
          </m:e>
          <m:sub>
            <m:r>
              <m:t>i</m:t>
            </m:r>
            <m:r>
              <m:rPr>
                <m:sty m:val="p"/>
              </m:rPr>
              <m:t>,</m:t>
            </m:r>
            <m:r>
              <m:t>c</m:t>
            </m:r>
            <m:r>
              <m:rPr>
                <m:sty m:val="p"/>
              </m:rPr>
              <m:t>,</m:t>
            </m:r>
            <m:r>
              <m:t>t</m:t>
            </m:r>
          </m:sub>
        </m:sSub>
        <m:r>
          <m:rPr>
            <m:sty m:val="p"/>
          </m:rPr>
          <m:t>=exp(−</m:t>
        </m:r>
        <m:sSub>
          <m:e>
            <m:r>
              <m:rPr>
                <m:sty m:val="p"/>
              </m:rPr>
              <m:t>LCOH</m:t>
            </m:r>
          </m:e>
          <m:sub>
            <m:r>
              <m:t>i</m:t>
            </m:r>
            <m:r>
              <m:rPr>
                <m:sty m:val="p"/>
              </m:rPr>
              <m:t>,</m:t>
            </m:r>
            <m:r>
              <m:t>c</m:t>
            </m:r>
            <m:r>
              <m:rPr>
                <m:sty m:val="p"/>
              </m:rPr>
              <m:t>,</m:t>
            </m:r>
            <m:r>
              <m:t>t</m:t>
            </m:r>
          </m:sub>
        </m:sSub>
        <m:r>
          <m:rPr>
            <m:sty m:val="p"/>
          </m:rPr>
          <m:t>/</m:t>
        </m:r>
        <m:r>
          <m:t>T</m:t>
        </m:r>
        <m:r>
          <m:rPr>
            <m:sty m:val="p"/>
          </m:rPr>
          <m:t>)/</m:t>
        </m:r>
        <m:nary>
          <m:naryPr>
            <m:chr m:val="∑"/>
            <m:limLoc m:val="undOvr"/>
            <m:subHide m:val="off"/>
            <m:supHide m:val="on"/>
          </m:naryPr>
          <m:sub>
            <m:r>
              <m:t>j</m:t>
            </m:r>
          </m:sub>
          <m:sup>
            <m:r>
              <m:t>​</m:t>
            </m:r>
          </m:sup>
          <m:e>
            <m:r>
              <m:rPr>
                <m:sty m:val="p"/>
              </m:rPr>
              <m:t>exp</m:t>
            </m:r>
          </m:e>
        </m:nary>
        <m:r>
          <m:rPr>
            <m:sty m:val="p"/>
          </m:rPr>
          <m:t>(−</m:t>
        </m:r>
        <m:sSub>
          <m:e>
            <m:r>
              <m:rPr>
                <m:sty m:val="p"/>
              </m:rPr>
              <m:t>LCOH</m:t>
            </m:r>
          </m:e>
          <m:sub>
            <m:r>
              <m:t>j</m:t>
            </m:r>
            <m:r>
              <m:rPr>
                <m:sty m:val="p"/>
              </m:rPr>
              <m:t>,</m:t>
            </m:r>
            <m:r>
              <m:t>c</m:t>
            </m:r>
            <m:r>
              <m:rPr>
                <m:sty m:val="p"/>
              </m:rPr>
              <m:t>,</m:t>
            </m:r>
            <m:r>
              <m:t>t</m:t>
            </m:r>
          </m:sub>
        </m:sSub>
        <m:r>
          <m:rPr>
            <m:sty m:val="p"/>
          </m:rPr>
          <m:t>/</m:t>
        </m:r>
        <m:r>
          <m:t>T</m:t>
        </m:r>
        <m:r>
          <m:rPr>
            <m:sty m:val="p"/>
          </m:rPr>
          <m:t>)</m:t>
        </m:r>
      </m:oMath>
      <w:r>
        <w:rPr>
          <w:rFonts w:ascii="Times New Roman" w:hAnsi="Times New Roman"/>
          <w:sz w:val="24"/>
        </w:rPr>
        <w:t xml:space="preserve"> </w:t>
      </w:r>
      <w:r>
        <w:rPr>
          <w:rFonts w:ascii="Times New Roman" w:hAnsi="Times New Roman"/>
          <w:sz w:val="24"/>
        </w:rPr>
        <w:t xml:space="preserve">with</w:t>
      </w:r>
      <w:r>
        <w:rPr>
          <w:rFonts w:ascii="Times New Roman" w:hAnsi="Times New Roman"/>
          <w:sz w:val="24"/>
        </w:rPr>
        <w:t xml:space="preserve"> </w:t>
      </w:r>
      <m:oMath>
        <m:r>
          <m:t>T</m:t>
        </m:r>
      </m:oMath>
      <w:r>
        <w:rPr>
          <w:rFonts w:ascii="Times New Roman" w:hAnsi="Times New Roman"/>
          <w:sz w:val="24"/>
        </w:rPr>
        <w:t xml:space="preserve"> </w:t>
      </w:r>
      <w:r>
        <w:rPr>
          <w:rFonts w:ascii="Times New Roman" w:hAnsi="Times New Roman"/>
          <w:sz w:val="24"/>
        </w:rPr>
        <w:t xml:space="preserve">set to €50/MWh, blended in on a weight rising linearly from zero in 2025 to 0.50 in 2050. Fossil shares stay policy-defined. Hydrogen is capped at its drawn adoption target and any excess goes first to heat pumps within feasibility and then to district heat. This is a heuristic scenario-allocation rule rather than an estimated choice model or a system-cost optimum (Supplementary Section S1.5).</w:t>
      </w:r>
    </w:p>
    <w:p>
      <w:pPr>
        <w:pStyle w:val="BodyText"/>
      </w:pPr>
      <w:r>
        <w:rPr>
          <w:rFonts w:ascii="Times New Roman" w:hAnsi="Times New Roman"/>
          <w:sz w:val="24"/>
        </w:rPr>
        <w:t xml:space="preserve">Levelised cost compares technologies as base-load suppliers, an arena the review literature</w:t>
      </w:r>
      <w:r>
        <w:rPr>
          <w:rFonts w:ascii="Times New Roman" w:hAnsi="Times New Roman"/>
          <w:sz w:val="24"/>
        </w:rPr>
        <w:t xml:space="preserve"> </w:t>
      </w:r>
      <w:r>
        <w:rPr>
          <w:rFonts w:ascii="Times New Roman" w:hAnsi="Times New Roman"/>
          <w:sz w:val="24"/>
        </w:rPr>
        <w:t xml:space="preserve">treats as settled in the heat pump’s favour</w:t>
      </w:r>
      <w:r>
        <w:rPr>
          <w:rFonts w:ascii="Times New Roman" w:hAnsi="Times New Roman"/>
          <w:sz w:val="24"/>
        </w:rPr>
        <w:t xml:space="preserve"> </w:t>
      </w:r>
      <w:r>
        <w:rPr>
          <w:rFonts w:ascii="Times New Roman" w:hAnsi="Times New Roman"/>
          <w:sz w:val="24"/>
        </w:rPr>
        <w:t xml:space="preserve">[14], [15], [19]</w:t>
      </w:r>
      <w:r>
        <w:rPr>
          <w:rFonts w:ascii="Times New Roman" w:hAnsi="Times New Roman"/>
          <w:sz w:val="24"/>
        </w:rPr>
        <w:t xml:space="preserve">. Hydrogen’s narrower</w:t>
      </w:r>
      <w:r>
        <w:rPr>
          <w:rFonts w:ascii="Times New Roman" w:hAnsi="Times New Roman"/>
          <w:sz w:val="24"/>
        </w:rPr>
        <w:t xml:space="preserve"> </w:t>
      </w:r>
      <w:r>
        <w:rPr>
          <w:rFonts w:ascii="Times New Roman" w:hAnsi="Times New Roman"/>
          <w:sz w:val="24"/>
        </w:rPr>
        <w:t xml:space="preserve">case is as a peaker serving the cold-snap slice, modelled as a merit-order dispatch among</w:t>
      </w:r>
      <w:r>
        <w:rPr>
          <w:rFonts w:ascii="Times New Roman" w:hAnsi="Times New Roman"/>
          <w:sz w:val="24"/>
        </w:rPr>
        <w:t xml:space="preserve"> </w:t>
      </w:r>
      <w:r>
        <w:rPr>
          <w:rFonts w:ascii="Times New Roman" w:hAnsi="Times New Roman"/>
          <w:sz w:val="24"/>
        </w:rPr>
        <w:t xml:space="preserve">quick-start options whose SRMCs per MWh of useful heat are</w:t>
      </w:r>
    </w:p>
    <w:tbl>
      <w:tblPr>
        <w:tblW w:w="5000" w:type="pct"/>
        <w:tblBorders>
          <w:top w:val="none" w:sz="0"/>
          <w:left w:val="none" w:sz="0"/>
          <w:bottom w:val="none" w:sz="0"/>
          <w:right w:val="none" w:sz="0"/>
          <w:insideH w:val="none" w:sz="0"/>
          <w:insideV w:val="none" w:sz="0"/>
        </w:tblBorders>
      </w:tblPr>
      <w:tblGrid>
        <w:gridCol w:w="8500"/>
        <w:gridCol w:w="1000"/>
      </w:tblGrid>
      <w:tr>
        <w:tc>
          <w:tcPr>
            <w:tcW w:w="8500" w:type="dxa"/>
          </w:tcPr>
          <w:p>
            <w:pPr>
              <w:pStyle w:val="BodyText"/>
            </w:pPr>
            <m:oMathPara>
              <m:oMathParaPr>
                <m:jc m:val="center"/>
              </m:oMathParaPr>
              <m:oMath>
                <m:sSubSup>
                  <m:e>
                    <m:r>
                      <m:t>c</m:t>
                    </m:r>
                  </m:e>
                  <m:sub>
                    <m:r>
                      <m:t>c</m:t>
                    </m:r>
                  </m:sub>
                  <m:sup>
                    <m:r>
                      <m:rPr>
                        <m:sty m:val="p"/>
                      </m:rPr>
                      <m:t>gas</m:t>
                    </m:r>
                  </m:sup>
                </m:sSubSup>
                <m:r>
                  <m:rPr>
                    <m:sty m:val="p"/>
                  </m:rPr>
                  <m:t>=</m:t>
                </m:r>
                <m:f>
                  <m:fPr>
                    <m:type m:val="bar"/>
                  </m:fPr>
                  <m:num>
                    <m:sSubSup>
                      <m:e>
                        <m:r>
                          <m:t>p</m:t>
                        </m:r>
                      </m:e>
                      <m:sub>
                        <m:r>
                          <m:t>c</m:t>
                        </m:r>
                      </m:sub>
                      <m:sup>
                        <m:r>
                          <m:rPr>
                            <m:sty m:val="p"/>
                          </m:rPr>
                          <m:t>gas</m:t>
                        </m:r>
                      </m:sup>
                    </m:sSubSup>
                    <m:r>
                      <m:rPr>
                        <m:sty m:val="p"/>
                      </m:rPr>
                      <m:t>+</m:t>
                    </m:r>
                    <m:sSub>
                      <m:e>
                        <m:r>
                          <m:t>φ</m:t>
                        </m:r>
                      </m:e>
                      <m:sub>
                        <m:r>
                          <m:t>y</m:t>
                        </m:r>
                      </m:sub>
                    </m:sSub>
                    <m:r>
                      <m:t> </m:t>
                    </m:r>
                    <m:sSub>
                      <m:e>
                        <m:r>
                          <m:t>e</m:t>
                        </m:r>
                      </m:e>
                      <m:sub>
                        <m:r>
                          <m:rPr>
                            <m:sty m:val="p"/>
                          </m:rPr>
                          <m:t>g</m:t>
                        </m:r>
                      </m:sub>
                    </m:sSub>
                  </m:num>
                  <m:den>
                    <m:sSub>
                      <m:e>
                        <m:r>
                          <m:t>η</m:t>
                        </m:r>
                      </m:e>
                      <m:sub>
                        <m:r>
                          <m:rPr>
                            <m:sty m:val="p"/>
                          </m:rPr>
                          <m:t>g</m:t>
                        </m:r>
                      </m:sub>
                    </m:sSub>
                  </m:den>
                </m:f>
                <m:r>
                  <m:rPr>
                    <m:sty m:val="p"/>
                  </m:rPr>
                  <m:t xml:space="preserve">,  </m:t>
                </m:r>
                <m:sSubSup>
                  <m:e>
                    <m:r>
                      <m:t>c</m:t>
                    </m:r>
                  </m:e>
                  <m:sub>
                    <m:r>
                      <m:t>c</m:t>
                    </m:r>
                  </m:sub>
                  <m:sup>
                    <m:sSub>
                      <m:e>
                        <m:r>
                          <m:rPr>
                            <m:sty m:val="p"/>
                          </m:rPr>
                          <m:t>H</m:t>
                        </m:r>
                      </m:e>
                      <m:sub>
                        <m:r>
                          <m:rPr>
                            <m:sty m:val="p"/>
                          </m:rPr>
                          <m:t>2</m:t>
                        </m:r>
                      </m:sub>
                    </m:sSub>
                  </m:sup>
                </m:sSubSup>
                <m:r>
                  <m:rPr>
                    <m:sty m:val="p"/>
                  </m:rPr>
                  <m:t>=</m:t>
                </m:r>
                <m:f>
                  <m:fPr>
                    <m:type m:val="bar"/>
                  </m:fPr>
                  <m:num>
                    <m:sSubSup>
                      <m:e>
                        <m:r>
                          <m:t>p</m:t>
                        </m:r>
                      </m:e>
                      <m:sub>
                        <m:r>
                          <m:t>c</m:t>
                        </m:r>
                      </m:sub>
                      <m:sup>
                        <m:sSub>
                          <m:e>
                            <m:r>
                              <m:rPr>
                                <m:sty m:val="p"/>
                              </m:rPr>
                              <m:t>H</m:t>
                            </m:r>
                          </m:e>
                          <m:sub>
                            <m:r>
                              <m:rPr>
                                <m:sty m:val="p"/>
                              </m:rPr>
                              <m:t>2</m:t>
                            </m:r>
                          </m:sub>
                        </m:sSub>
                      </m:sup>
                    </m:sSubSup>
                  </m:num>
                  <m:den>
                    <m:sSub>
                      <m:e>
                        <m:r>
                          <m:t>η</m:t>
                        </m:r>
                      </m:e>
                      <m:sub>
                        <m:r>
                          <m:rPr>
                            <m:sty m:val="p"/>
                          </m:rPr>
                          <m:t>h</m:t>
                        </m:r>
                      </m:sub>
                    </m:sSub>
                  </m:den>
                </m:f>
                <m:r>
                  <m:rPr>
                    <m:sty m:val="p"/>
                  </m:rPr>
                  <m:t>+</m:t>
                </m:r>
                <m:sSub>
                  <m:e>
                    <m:r>
                      <m:t>σ</m:t>
                    </m:r>
                  </m:e>
                  <m:sub>
                    <m:r>
                      <m:t>c</m:t>
                    </m:r>
                  </m:sub>
                </m:sSub>
                <m:r>
                  <m:rPr>
                    <m:sty m:val="p"/>
                  </m:rPr>
                  <m:t>+</m:t>
                </m:r>
                <m:sSubSup>
                  <m:e>
                    <m:r>
                      <m:t>a</m:t>
                    </m:r>
                  </m:e>
                  <m:sub>
                    <m:r>
                      <m:t>c</m:t>
                    </m:r>
                  </m:sub>
                  <m:sup>
                    <m:sSub>
                      <m:e>
                        <m:r>
                          <m:rPr>
                            <m:sty m:val="p"/>
                          </m:rPr>
                          <m:t>H</m:t>
                        </m:r>
                      </m:e>
                      <m:sub>
                        <m:r>
                          <m:rPr>
                            <m:sty m:val="p"/>
                          </m:rPr>
                          <m:t>2</m:t>
                        </m:r>
                      </m:sub>
                    </m:sSub>
                    <m:r>
                      <m:rPr>
                        <m:sty m:val="p"/>
                      </m:rPr>
                      <m:t>,dist</m:t>
                    </m:r>
                  </m:sup>
                </m:sSubSup>
                <m:r>
                  <m:rPr>
                    <m:sty m:val="p"/>
                  </m:rPr>
                  <m:t xml:space="preserve">,  </m:t>
                </m:r>
                <m:sSubSup>
                  <m:e>
                    <m:r>
                      <m:t>c</m:t>
                    </m:r>
                  </m:e>
                  <m:sub>
                    <m:r>
                      <m:t>c</m:t>
                    </m:r>
                  </m:sub>
                  <m:sup>
                    <m:r>
                      <m:rPr>
                        <m:sty m:val="p"/>
                      </m:rPr>
                      <m:t>HP</m:t>
                    </m:r>
                  </m:sup>
                </m:sSubSup>
                <m:r>
                  <m:rPr>
                    <m:sty m:val="p"/>
                  </m:rPr>
                  <m:t>=</m:t>
                </m:r>
                <m:f>
                  <m:fPr>
                    <m:type m:val="bar"/>
                  </m:fPr>
                  <m:num>
                    <m:sSubSup>
                      <m:e>
                        <m:r>
                          <m:t>π</m:t>
                        </m:r>
                      </m:e>
                      <m:sub>
                        <m:r>
                          <m:t>c</m:t>
                        </m:r>
                      </m:sub>
                      <m:sup>
                        <m:r>
                          <m:rPr>
                            <m:sty m:val="p"/>
                          </m:rPr>
                          <m:t>peak</m:t>
                        </m:r>
                      </m:sup>
                    </m:sSubSup>
                  </m:num>
                  <m:den>
                    <m:sSubSup>
                      <m:e>
                        <m:r>
                          <m:rPr>
                            <m:sty m:val="p"/>
                          </m:rPr>
                          <m:t>COP</m:t>
                        </m:r>
                      </m:e>
                      <m:sub>
                        <m:r>
                          <m:t>c</m:t>
                        </m:r>
                      </m:sub>
                      <m:sup>
                        <m:r>
                          <m:rPr>
                            <m:sty m:val="p"/>
                          </m:rPr>
                          <m:t>cold</m:t>
                        </m:r>
                      </m:sup>
                    </m:sSubSup>
                  </m:den>
                </m:f>
                <m:r>
                  <m:rPr>
                    <m:sty m:val="p"/>
                  </m:rPr>
                  <m:t>,</m:t>
                </m:r>
              </m:oMath>
            </m:oMathPara>
          </w:p>
        </w:tc>
        <w:tc>
          <w:tcPr>
            <w:tcW w:w="1000" w:type="dxa"/>
            <w:vAlign w:val="center"/>
          </w:tcPr>
          <w:p>
            <w:pPr>
              <w:jc w:val="right"/>
            </w:pPr>
            <w:r>
              <w:rPr>
                <w:rFonts w:ascii="Times New Roman" w:hAnsi="Times New Roman" w:cs="Times New Roman"/>
                <w:sz w:val="24"/>
              </w:rPr>
              <w:t xml:space="preserve">(</w:t>
            </w:r>
            <w:bookmarkStart w:id="1001" w:name="eq_1"/>
            <w:r>
              <w:rPr>
                <w:rFonts w:ascii="Times New Roman" w:hAnsi="Times New Roman" w:cs="Times New Roman"/>
                <w:sz w:val="24"/>
              </w:rPr>
              <w:fldChar w:fldCharType="begin"/>
            </w:r>
            <w:r>
              <w:rPr>
                <w:rFonts w:ascii="Times New Roman" w:hAnsi="Times New Roman" w:cs="Times New Roman"/>
                <w:sz w:val="24"/>
              </w:rPr>
              <w:instrText xml:space="preserve"> SEQ Equation \* ARABIC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bookmarkEnd w:id="1001"/>
            <w:r>
              <w:rPr>
                <w:rFonts w:ascii="Times New Roman" w:hAnsi="Times New Roman" w:cs="Times New Roman"/>
                <w:sz w:val="24"/>
              </w:rPr>
              <w:t xml:space="preserve">)</w:t>
            </w:r>
          </w:p>
        </w:tc>
      </w:tr>
    </w:tbl>
    <w:p>
      <w:pPr>
        <w:pStyle w:val="BodyText"/>
      </w:pPr>
      <w:r>
        <w:rPr>
          <w:rFonts w:ascii="Times New Roman" w:hAnsi="Times New Roman"/>
          <w:sz w:val="24"/>
        </w:rPr>
        <w:t xml:space="preserve">where</w:t>
      </w:r>
      <w:r>
        <w:rPr>
          <w:rFonts w:ascii="Times New Roman" w:hAnsi="Times New Roman"/>
          <w:sz w:val="24"/>
        </w:rPr>
        <w:t xml:space="preserve"> </w:t>
      </w:r>
      <m:oMath>
        <m:sSub>
          <m:e>
            <m:r>
              <m:t>φ</m:t>
            </m:r>
          </m:e>
          <m:sub>
            <m:r>
              <m:t>y</m:t>
            </m:r>
          </m:sub>
        </m:sSub>
      </m:oMath>
      <w:r>
        <w:rPr>
          <w:rFonts w:ascii="Times New Roman" w:hAnsi="Times New Roman"/>
          <w:sz w:val="24"/>
        </w:rPr>
        <w:t xml:space="preserve"> </w:t>
      </w:r>
      <w:r>
        <w:rPr>
          <w:rFonts w:ascii="Times New Roman" w:hAnsi="Times New Roman"/>
          <w:sz w:val="24"/>
        </w:rPr>
        <w:t xml:space="preserve">is the carbon price,</w:t>
      </w:r>
      <w:r>
        <w:rPr>
          <w:rFonts w:ascii="Times New Roman" w:hAnsi="Times New Roman"/>
          <w:sz w:val="24"/>
        </w:rPr>
        <w:t xml:space="preserve"> </w:t>
      </w:r>
      <w:r>
        <w:t xml:space="preserve">η</w:t>
      </w:r>
      <w:r>
        <w:rPr>
          <w:rFonts w:ascii="Times New Roman" w:hAnsi="Times New Roman"/>
          <w:sz w:val="24"/>
        </w:rPr>
        <w:t xml:space="preserve"> </w:t>
      </w:r>
      <w:r>
        <w:rPr>
          <w:rFonts w:ascii="Times New Roman" w:hAnsi="Times New Roman"/>
          <w:sz w:val="24"/>
        </w:rPr>
        <w:t xml:space="preserve">denotes conversion efficiency,</w:t>
      </w:r>
      <w:r>
        <w:rPr>
          <w:rFonts w:ascii="Times New Roman" w:hAnsi="Times New Roman"/>
          <w:sz w:val="24"/>
        </w:rPr>
        <w:t xml:space="preserve"> </w:t>
      </w:r>
      <m:oMath>
        <m:sSubSup>
          <m:e>
            <m:r>
              <m:t>a</m:t>
            </m:r>
          </m:e>
          <m:sub>
            <m:r>
              <m:t>c</m:t>
            </m:r>
          </m:sub>
          <m:sup>
            <m:sSub>
              <m:e>
                <m:r>
                  <m:rPr>
                    <m:sty m:val="p"/>
                  </m:rPr>
                  <m:t>H</m:t>
                </m:r>
              </m:e>
              <m:sub>
                <m:r>
                  <m:rPr>
                    <m:sty m:val="p"/>
                  </m:rPr>
                  <m:t>2</m:t>
                </m:r>
              </m:sub>
            </m:sSub>
            <m:r>
              <m:rPr>
                <m:sty m:val="p"/>
              </m:rPr>
              <m:t>,dist</m:t>
            </m:r>
          </m:sup>
        </m:sSubSup>
      </m:oMath>
      <w:r>
        <w:rPr>
          <w:rFonts w:ascii="Times New Roman" w:hAnsi="Times New Roman"/>
          <w:sz w:val="24"/>
        </w:rPr>
        <w:t xml:space="preserve"> </w:t>
      </w:r>
      <w:r>
        <w:rPr>
          <w:rFonts w:ascii="Times New Roman" w:hAnsi="Times New Roman"/>
          <w:sz w:val="24"/>
        </w:rPr>
        <w:t xml:space="preserve">is the hydrogen last-mile distribution adder used in the symmetric accounting, and</w:t>
      </w:r>
      <w:r>
        <w:rPr>
          <w:rFonts w:ascii="Times New Roman" w:hAnsi="Times New Roman"/>
          <w:sz w:val="24"/>
        </w:rPr>
        <w:t xml:space="preserve"> </w:t>
      </w:r>
      <m:oMath>
        <m:sSub>
          <m:e>
            <m:r>
              <m:t>σ</m:t>
            </m:r>
          </m:e>
          <m:sub>
            <m:r>
              <m:t>c</m:t>
            </m:r>
          </m:sub>
        </m:sSub>
      </m:oMath>
      <w:r>
        <w:rPr>
          <w:rFonts w:ascii="Times New Roman" w:hAnsi="Times New Roman"/>
          <w:sz w:val="24"/>
        </w:rPr>
        <w:t xml:space="preserve"> </w:t>
      </w:r>
      <w:r>
        <w:rPr>
          <w:rFonts w:ascii="Times New Roman" w:hAnsi="Times New Roman"/>
          <w:sz w:val="24"/>
        </w:rPr>
        <w:t xml:space="preserve">is the seasonal-storage adder, about €50/MWh-heat with domestic salt caverns and €100 without, the two ends spanning the cavern rate and the high-cost non-salt-storage proxy reported in the bulk-storage literature</w:t>
      </w:r>
      <w:r>
        <w:rPr>
          <w:rFonts w:ascii="Times New Roman" w:hAnsi="Times New Roman"/>
          <w:sz w:val="24"/>
        </w:rPr>
        <w:t xml:space="preserve"> </w:t>
      </w:r>
      <w:r>
        <w:rPr>
          <w:rFonts w:ascii="Times New Roman" w:hAnsi="Times New Roman"/>
          <w:sz w:val="24"/>
        </w:rPr>
        <w:t xml:space="preserve">[54], [55]</w:t>
      </w:r>
      <w:r>
        <w:rPr>
          <w:rFonts w:ascii="Times New Roman" w:hAnsi="Times New Roman"/>
          <w:sz w:val="24"/>
        </w:rPr>
        <w:t xml:space="preserve"> </w:t>
      </w:r>
      <w:r>
        <w:rPr>
          <w:rFonts w:ascii="Times New Roman" w:hAnsi="Times New Roman"/>
          <w:sz w:val="24"/>
        </w:rPr>
        <w:t xml:space="preserve">and applied at the higher rate to the markets with no salt resource</w:t>
      </w:r>
      <w:r>
        <w:rPr>
          <w:rFonts w:ascii="Times New Roman" w:hAnsi="Times New Roman"/>
          <w:sz w:val="24"/>
        </w:rPr>
        <w:t xml:space="preserve"> </w:t>
      </w:r>
      <w:r>
        <w:rPr>
          <w:rFonts w:ascii="Times New Roman" w:hAnsi="Times New Roman"/>
          <w:sz w:val="24"/>
        </w:rPr>
        <w:t xml:space="preserve">[56]</w:t>
      </w:r>
      <w:r>
        <w:rPr>
          <w:rFonts w:ascii="Times New Roman" w:hAnsi="Times New Roman"/>
          <w:sz w:val="24"/>
        </w:rPr>
        <w:t xml:space="preserve">. Cold-snap heat-pump COP is derated from the seasonal figure,</w:t>
      </w:r>
      <w:r>
        <w:rPr>
          <w:rFonts w:ascii="Times New Roman" w:hAnsi="Times New Roman"/>
          <w:sz w:val="24"/>
        </w:rPr>
        <w:t xml:space="preserve"> </w:t>
      </w:r>
      <m:oMath>
        <m:sSubSup>
          <m:e>
            <m:r>
              <m:rPr>
                <m:sty m:val="p"/>
              </m:rPr>
              <m:t>COP</m:t>
            </m:r>
          </m:e>
          <m:sub>
            <m:r>
              <m:t>c</m:t>
            </m:r>
          </m:sub>
          <m:sup>
            <m:r>
              <m:rPr>
                <m:sty m:val="p"/>
              </m:rPr>
              <m:t>cold</m:t>
            </m:r>
          </m:sup>
        </m:sSubSup>
        <m:r>
          <m:rPr>
            <m:sty m:val="p"/>
          </m:rPr>
          <m:t>=max(</m:t>
        </m:r>
        <m:r>
          <m:t xml:space="preserve">0.60 </m:t>
        </m:r>
        <m:sSub>
          <m:e>
            <m:r>
              <m:rPr>
                <m:sty m:val="p"/>
              </m:rPr>
              <m:t>SCOP</m:t>
            </m:r>
          </m:e>
          <m:sub>
            <m:r>
              <m:t>c</m:t>
            </m:r>
          </m:sub>
        </m:sSub>
        <m:r>
          <m:rPr>
            <m:sty m:val="p"/>
          </m:rPr>
          <m:t>,</m:t>
        </m:r>
        <m:r>
          <m:t>1.8</m:t>
        </m:r>
        <m:r>
          <m:rPr>
            <m:sty m:val="p"/>
          </m:rPr>
          <m:t>)</m:t>
        </m:r>
      </m:oMath>
      <w:r>
        <w:rPr>
          <w:rFonts w:ascii="Times New Roman" w:hAnsi="Times New Roman"/>
          <w:sz w:val="24"/>
        </w:rPr>
        <w:t xml:space="preserve"> </w:t>
      </w:r>
      <w:r>
        <w:rPr>
          <w:rFonts w:ascii="Times New Roman" w:hAnsi="Times New Roman"/>
          <w:sz w:val="24"/>
        </w:rPr>
        <w:t xml:space="preserve">following the low-temperature field measurements</w:t>
      </w:r>
      <w:r>
        <w:rPr>
          <w:rFonts w:ascii="Times New Roman" w:hAnsi="Times New Roman"/>
          <w:sz w:val="24"/>
        </w:rPr>
        <w:t xml:space="preserve"> </w:t>
      </w:r>
      <w:r>
        <w:rPr>
          <w:rFonts w:ascii="Times New Roman" w:hAnsi="Times New Roman"/>
          <w:sz w:val="24"/>
        </w:rPr>
        <w:t xml:space="preserve">[8]</w:t>
      </w:r>
      <w:r>
        <w:rPr>
          <w:rFonts w:ascii="Times New Roman" w:hAnsi="Times New Roman"/>
          <w:sz w:val="24"/>
        </w:rPr>
        <w:t xml:space="preserve">, which gives 1.80–2.84 across the 29</w:t>
      </w:r>
      <w:r>
        <w:rPr>
          <w:rFonts w:ascii="Times New Roman" w:hAnsi="Times New Roman"/>
          <w:sz w:val="24"/>
        </w:rPr>
        <w:t xml:space="preserve"> </w:t>
      </w:r>
      <w:r>
        <w:rPr>
          <w:rFonts w:ascii="Times New Roman" w:hAnsi="Times New Roman"/>
          <w:sz w:val="24"/>
        </w:rPr>
        <w:t xml:space="preserve">markets at a median of 2.04 in 2050. The scarcity electricity price</w:t>
      </w:r>
      <w:r>
        <w:rPr>
          <w:rFonts w:ascii="Times New Roman" w:hAnsi="Times New Roman"/>
          <w:sz w:val="24"/>
        </w:rPr>
        <w:t xml:space="preserve"> </w:t>
      </w:r>
      <m:oMath>
        <m:sSubSup>
          <m:e>
            <m:r>
              <m:t>π</m:t>
            </m:r>
          </m:e>
          <m:sub>
            <m:r>
              <m:t>c</m:t>
            </m:r>
          </m:sub>
          <m:sup>
            <m:r>
              <m:rPr>
                <m:sty m:val="p"/>
              </m:rPr>
              <m:t>peak</m:t>
            </m:r>
          </m:sup>
        </m:sSubSup>
      </m:oMath>
      <w:r>
        <w:rPr>
          <w:rFonts w:ascii="Times New Roman" w:hAnsi="Times New Roman"/>
          <w:sz w:val="24"/>
        </w:rPr>
        <w:t xml:space="preserve"> </w:t>
      </w:r>
      <w:r>
        <w:rPr>
          <w:rFonts w:ascii="Times New Roman" w:hAnsi="Times New Roman"/>
          <w:sz w:val="24"/>
        </w:rPr>
        <w:t xml:space="preserve">that prices the heat-pump branch is taken from the power</w:t>
      </w:r>
      <w:r>
        <w:rPr>
          <w:rFonts w:ascii="Times New Roman" w:hAnsi="Times New Roman"/>
          <w:sz w:val="24"/>
        </w:rPr>
        <w:t xml:space="preserve"> </w:t>
      </w:r>
      <w:r>
        <w:rPr>
          <w:rFonts w:ascii="Times New Roman" w:hAnsi="Times New Roman"/>
          <w:sz w:val="24"/>
        </w:rPr>
        <w:t xml:space="preserve">sector’s own merit order, set by the marginal winter unit. A country counts as a hydrogen win where its hydrogen-ready turbine undercuts the gas turbine on SRMC, both machines held at the same efficiency.</w:t>
      </w:r>
      <w:r>
        <w:rPr>
          <w:rFonts w:ascii="Times New Roman" w:hAnsi="Times New Roman"/>
          <w:sz w:val="24"/>
        </w:rPr>
        <w:t xml:space="preserve"> </w:t>
      </w:r>
      <w:r>
        <w:rPr>
          <w:rFonts w:ascii="Times New Roman" w:hAnsi="Times New Roman"/>
          <w:sz w:val="24"/>
        </w:rPr>
        <w:t xml:space="preserve">Winning the dispatch is necessary but not sufficient, because an investor must recover the</w:t>
      </w:r>
      <w:r>
        <w:rPr>
          <w:rFonts w:ascii="Times New Roman" w:hAnsi="Times New Roman"/>
          <w:sz w:val="24"/>
        </w:rPr>
        <w:t xml:space="preserve"> </w:t>
      </w:r>
      <w:r>
        <w:rPr>
          <w:rFonts w:ascii="Times New Roman" w:hAnsi="Times New Roman"/>
          <w:sz w:val="24"/>
        </w:rPr>
        <w:t xml:space="preserve">peaker’s capital from the few hundred hours a year it runs</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The question therefore shifts from an energy share to one of</w:t>
      </w:r>
      <w:r>
        <w:rPr>
          <w:rFonts w:ascii="Times New Roman" w:hAnsi="Times New Roman"/>
          <w:sz w:val="24"/>
        </w:rPr>
        <w:t xml:space="preserve"> </w:t>
      </w:r>
      <w:r>
        <w:rPr>
          <w:rFonts w:ascii="Times New Roman" w:hAnsi="Times New Roman"/>
          <w:sz w:val="24"/>
        </w:rPr>
        <w:t xml:space="preserve">firm capacity, screened consistently across the building winter peak, district heat and</w:t>
      </w:r>
      <w:r>
        <w:rPr>
          <w:rFonts w:ascii="Times New Roman" w:hAnsi="Times New Roman"/>
          <w:sz w:val="24"/>
        </w:rPr>
        <w:t xml:space="preserve"> </w:t>
      </w:r>
      <w:r>
        <w:rPr>
          <w:rFonts w:ascii="Times New Roman" w:hAnsi="Times New Roman"/>
          <w:sz w:val="24"/>
        </w:rPr>
        <w:t xml:space="preserve">the power sector. Symbols are listed in the nomenclature above.</w:t>
      </w:r>
    </w:p>
    <w:p>
      <w:pPr>
        <w:pStyle w:val="BodyText"/>
      </w:pPr>
      <w:r>
        <w:rPr>
          <w:rFonts w:ascii="Times New Roman" w:hAnsi="Times New Roman"/>
          <w:sz w:val="24"/>
        </w:rPr>
        <w:t xml:space="preserve">Four multi-lever scenarios bracket the plausible range of European buildings</w:t>
      </w:r>
      <w:r>
        <w:rPr>
          <w:rFonts w:ascii="Times New Roman" w:hAnsi="Times New Roman"/>
          <w:sz w:val="24"/>
        </w:rPr>
        <w:t xml:space="preserve"> </w:t>
      </w:r>
      <w:r>
        <w:rPr>
          <w:rFonts w:ascii="Times New Roman" w:hAnsi="Times New Roman"/>
          <w:sz w:val="24"/>
        </w:rPr>
        <w:t xml:space="preserve">decarbonisation to 2050.</w:t>
      </w:r>
      <w:r>
        <w:rPr>
          <w:rFonts w:ascii="Times New Roman" w:hAnsi="Times New Roman"/>
          <w:sz w:val="24"/>
        </w:rPr>
        <w:t xml:space="preserve"> </w:t>
      </w:r>
      <w:r>
        <w:rPr>
          <w:rFonts w:ascii="Times New Roman" w:hAnsi="Times New Roman"/>
          <w:b/>
          <w:bCs/>
          <w:sz w:val="24"/>
        </w:rPr>
        <w:t xml:space="preserve">Current Policies</w:t>
      </w:r>
      <w:r>
        <w:rPr>
          <w:rFonts w:ascii="Times New Roman" w:hAnsi="Times New Roman"/>
          <w:sz w:val="24"/>
        </w:rPr>
        <w:t xml:space="preserve"> </w:t>
      </w:r>
      <w:r>
        <w:rPr>
          <w:rFonts w:ascii="Times New Roman" w:hAnsi="Times New Roman"/>
          <w:sz w:val="24"/>
        </w:rPr>
        <w:t xml:space="preserve">freezes today’s implemented measures;</w:t>
      </w:r>
      <w:r>
        <w:rPr>
          <w:rFonts w:ascii="Times New Roman" w:hAnsi="Times New Roman"/>
          <w:sz w:val="24"/>
        </w:rPr>
        <w:t xml:space="preserve"> </w:t>
      </w:r>
      <w:r>
        <w:rPr>
          <w:rFonts w:ascii="Times New Roman" w:hAnsi="Times New Roman"/>
          <w:b/>
          <w:bCs/>
          <w:sz w:val="24"/>
        </w:rPr>
        <w:t xml:space="preserve">Stated Policies</w:t>
      </w:r>
      <w:r>
        <w:rPr>
          <w:rFonts w:ascii="Times New Roman" w:hAnsi="Times New Roman"/>
          <w:sz w:val="24"/>
        </w:rPr>
        <w:t xml:space="preserve"> </w:t>
      </w:r>
      <w:r>
        <w:rPr>
          <w:rFonts w:ascii="Times New Roman" w:hAnsi="Times New Roman"/>
          <w:sz w:val="24"/>
        </w:rPr>
        <w:t xml:space="preserve">delivers announced policy, broadly consistent with the European</w:t>
      </w:r>
      <w:r>
        <w:rPr>
          <w:rFonts w:ascii="Times New Roman" w:hAnsi="Times New Roman"/>
          <w:sz w:val="24"/>
        </w:rPr>
        <w:t xml:space="preserve"> </w:t>
      </w:r>
      <w:r>
        <w:rPr>
          <w:rFonts w:ascii="Times New Roman" w:hAnsi="Times New Roman"/>
          <w:sz w:val="24"/>
        </w:rPr>
        <w:t xml:space="preserve">Commission long-term strategy</w:t>
      </w:r>
      <w:r>
        <w:rPr>
          <w:rFonts w:ascii="Times New Roman" w:hAnsi="Times New Roman"/>
          <w:sz w:val="24"/>
        </w:rPr>
        <w:t xml:space="preserve"> </w:t>
      </w:r>
      <w:r>
        <w:rPr>
          <w:rFonts w:ascii="Times New Roman" w:hAnsi="Times New Roman"/>
          <w:sz w:val="24"/>
        </w:rPr>
        <w:t xml:space="preserve">[57]</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Net Zero</w:t>
      </w:r>
      <w:r>
        <w:rPr>
          <w:rFonts w:ascii="Times New Roman" w:hAnsi="Times New Roman"/>
          <w:sz w:val="24"/>
        </w:rPr>
        <w:t xml:space="preserve"> </w:t>
      </w:r>
      <w:r>
        <w:rPr>
          <w:rFonts w:ascii="Times New Roman" w:hAnsi="Times New Roman"/>
          <w:sz w:val="24"/>
        </w:rPr>
        <w:t xml:space="preserve">matches the IEA Net Zero scenario</w:t>
      </w:r>
      <w:r>
        <w:rPr>
          <w:rFonts w:ascii="Times New Roman" w:hAnsi="Times New Roman"/>
          <w:sz w:val="24"/>
        </w:rPr>
        <w:t xml:space="preserve"> </w:t>
      </w:r>
      <w:r>
        <w:rPr>
          <w:rFonts w:ascii="Times New Roman" w:hAnsi="Times New Roman"/>
          <w:sz w:val="24"/>
        </w:rPr>
        <w:t xml:space="preserve">[58]</w:t>
      </w:r>
      <w:r>
        <w:rPr>
          <w:rFonts w:ascii="Times New Roman" w:hAnsi="Times New Roman"/>
          <w:sz w:val="24"/>
        </w:rPr>
        <w:t xml:space="preserve">; and</w:t>
      </w:r>
      <w:r>
        <w:rPr>
          <w:rFonts w:ascii="Times New Roman" w:hAnsi="Times New Roman"/>
          <w:sz w:val="24"/>
        </w:rPr>
        <w:t xml:space="preserve"> </w:t>
      </w:r>
      <w:r>
        <w:rPr>
          <w:rFonts w:ascii="Times New Roman" w:hAnsi="Times New Roman"/>
          <w:b/>
          <w:bCs/>
          <w:sz w:val="24"/>
        </w:rPr>
        <w:t xml:space="preserve">H2 Push</w:t>
      </w:r>
      <w:r>
        <w:rPr>
          <w:rFonts w:ascii="Times New Roman" w:hAnsi="Times New Roman"/>
          <w:sz w:val="24"/>
        </w:rPr>
        <w:t xml:space="preserve"> </w:t>
      </w:r>
      <w:r>
        <w:rPr>
          <w:rFonts w:ascii="Times New Roman" w:hAnsi="Times New Roman"/>
          <w:sz w:val="24"/>
        </w:rPr>
        <w:t xml:space="preserve">is a</w:t>
      </w:r>
      <w:r>
        <w:rPr>
          <w:rFonts w:ascii="Times New Roman" w:hAnsi="Times New Roman"/>
          <w:sz w:val="24"/>
        </w:rPr>
        <w:t xml:space="preserve"> </w:t>
      </w:r>
      <w:r>
        <w:rPr>
          <w:rFonts w:ascii="Times New Roman" w:hAnsi="Times New Roman"/>
          <w:sz w:val="24"/>
        </w:rPr>
        <w:t xml:space="preserve">deliberately hydrogen-favourable world along the lines of REPowerEU</w:t>
      </w:r>
      <w:r>
        <w:rPr>
          <w:rFonts w:ascii="Times New Roman" w:hAnsi="Times New Roman"/>
          <w:sz w:val="24"/>
        </w:rPr>
        <w:t xml:space="preserve"> </w:t>
      </w:r>
      <w:r>
        <w:rPr>
          <w:rFonts w:ascii="Times New Roman" w:hAnsi="Times New Roman"/>
          <w:sz w:val="24"/>
        </w:rPr>
        <w:t xml:space="preserve">[11]</w:t>
      </w:r>
      <w:r>
        <w:rPr>
          <w:rFonts w:ascii="Times New Roman" w:hAnsi="Times New Roman"/>
          <w:sz w:val="24"/>
        </w:rPr>
      </w:r>
      <w:r>
        <w:rPr>
          <w:rFonts w:ascii="Times New Roman" w:hAnsi="Times New Roman" w:cs="Times New Roman"/>
          <w:sz w:val="24"/>
        </w:rPr>
        <w:t xml:space="preserve">. Table </w:t>
      </w:r>
      <w:r>
        <w:rPr>
          <w:rFonts w:ascii="Times New Roman" w:hAnsi="Times New Roman" w:cs="Times New Roman"/>
          <w:sz w:val="24"/>
        </w:rPr>
        <w:fldChar w:fldCharType="begin"/>
      </w:r>
      <w:r>
        <w:rPr>
          <w:rFonts w:ascii="Times New Roman" w:hAnsi="Times New Roman" w:cs="Times New Roman"/>
          <w:sz w:val="24"/>
        </w:rPr>
        <w:instrText xml:space="preserve"> REF tab_1 \h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r>
        <w:rPr>
          <w:rFonts w:ascii="Times New Roman" w:hAnsi="Times New Roman" w:cs="Times New Roman"/>
          <w:sz w:val="24"/>
        </w:rPr>
        <w:t xml:space="preserve"> summarises the eight exogenous levers each scenario sets, which separate them most sharply on renovation and on fossil retreat. Current Policies renovates at 0.70 times the announced-policy rate and still leaves 40 per cent of 2050 heat on fossil fuels, whereas Net Zero renovates at 2.73 times that rate and leaves 5 per cent. H2 Push is the hydrogen-favourable world rather than the most ambitious one, pairing a high carbon price and the rapid hydrogen-price path with a 1.64 times renovation rate and a 15 per cent fossil share. Hydrogen adoption is set at 0, 5, 3 and 8 per cent, so its ordering does not follow climate ambition. That setting is exogenous, and the dispatch screen tests it rather than sets it. Set against the dispatch-supported potential in the final row, which runs 0, 0.6, 7.5 and 9.0 per cent, only Stated Policies places adoption above what the screen supports, a gap Section 3.3 reports as a finding.</w:t>
      </w:r>
    </w:p>
    <w:bookmarkStart w:id="19" w:name="tab:levers_body"/>
    <w:p>
      <w:pPr>
        <w:pStyle w:val="TableCaption"/>
        <w:keepNext/>
      </w:pPr>
      <w:r>
        <w:rPr>
          <w:rFonts w:ascii="Times New Roman" w:hAnsi="Times New Roman"/>
          <w:sz w:val="24"/>
        </w:rPr>
        <w:t xml:space="preserve">Table </w:t>
      </w:r>
      <w:bookmarkStart w:id="1005" w:name="tab_1"/>
      <w:r>
        <w:rPr>
          <w:rFonts w:ascii="Times New Roman" w:hAnsi="Times New Roman" w:cs="Times New Roman"/>
          <w:sz w:val="24"/>
        </w:rPr>
        <w:fldChar w:fldCharType="begin"/>
      </w:r>
      <w:r>
        <w:rPr>
          <w:rFonts w:ascii="Times New Roman" w:hAnsi="Times New Roman" w:cs="Times New Roman"/>
          <w:sz w:val="24"/>
        </w:rPr>
        <w:instrText xml:space="preserve"> SEQ Table \* ARABIC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bookmarkEnd w:id="1005"/>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Scenario lever settings, 2050.</w:t>
      </w:r>
      <w:r>
        <w:rPr>
          <w:rFonts w:ascii="Times New Roman" w:hAnsi="Times New Roman"/>
          <w:sz w:val="24"/>
        </w:rPr>
        <w:t xml:space="preserve"> </w:t>
      </w:r>
      <w:r>
        <w:rPr>
          <w:rFonts w:ascii="Times New Roman" w:hAnsi="Times New Roman"/>
          <w:sz w:val="24"/>
        </w:rPr>
        <w:t xml:space="preserve">Eight exogenous levers per scenario,</w:t>
      </w:r>
      <w:r>
        <w:rPr>
          <w:rFonts w:ascii="Times New Roman" w:hAnsi="Times New Roman"/>
          <w:sz w:val="24"/>
        </w:rPr>
        <w:t xml:space="preserve"> </w:t>
      </w:r>
      <w:r>
        <w:rPr>
          <w:rFonts w:ascii="Times New Roman" w:hAnsi="Times New Roman"/>
          <w:sz w:val="24"/>
        </w:rPr>
        <w:t xml:space="preserve">with the independently derived dispatch-supported potential beneath them.</w:t>
      </w:r>
    </w:p>
    <w:tbl>
      <w:tblPr>
        <w:tblW w:type="auto" w:w="0"/>
        <w:tblLook w:firstColumn="1" w:firstRow="1" w:lastColumn="0" w:lastRow="0" w:noHBand="0" w:noVBand="1" w:val="04A0"/>
        <w:tblLayout w:type="fixed"/>
        <w:tblBorders>
          <w:top w:val="none" w:sz="0"/>
          <w:left w:val="none" w:sz="0"/>
          <w:bottom w:val="none" w:sz="0"/>
          <w:right w:val="none" w:sz="0"/>
          <w:insideH w:val="none" w:sz="0"/>
          <w:insideV w:val="none" w:sz="0"/>
        </w:tblBorders>
        <w:tblCellMar>
          <w:top w:w="40" w:type="dxa"/>
          <w:bottom w:w="40" w:type="dxa"/>
          <w:left w:w="0" w:type="dxa"/>
          <w:right w:w="115" w:type="dxa"/>
        </w:tblCellMar>
      </w:tblPr>
      <w:tblGrid>
        <w:gridCol w:w="3600"/>
        <w:gridCol w:w="1440"/>
        <w:gridCol w:w="1440"/>
        <w:gridCol w:w="1440"/>
        <w:gridCol w:w="1440"/>
      </w:tblGrid>
      <w:tr>
        <w:trPr>
          <w:cantSplit/>
          <w:tblHeader/>
        </w:trPr>
        <w:tc>
          <w:tcPr>
            <w:tcW w:type="dxa" w:w="3600"/>
            <w:tcBorders>
              <w:top w:val="single" w:sz="8" w:space="0" w:color="000000"/>
            </w:tcBorders>
          </w:tcPr>
          <w:p>
            <w:pPr>
              <w:keepNext/>
              <w:spacing w:line="240" w:lineRule="auto" w:after="0"/>
              <w:jc w:val="left"/>
            </w:pPr>
            <w:r>
              <w:rPr>
                <w:rFonts w:ascii="Times New Roman" w:hAnsi="Times New Roman"/>
                <w:b w:val="0"/>
                <w:i w:val="0"/>
                <w:sz w:val="20"/>
              </w:rPr>
              <w:t>Lever</w:t>
            </w:r>
          </w:p>
        </w:tc>
        <w:tc>
          <w:tcPr>
            <w:tcW w:type="dxa" w:w="1440"/>
            <w:tcBorders>
              <w:top w:val="single" w:sz="8" w:space="0" w:color="000000"/>
            </w:tcBorders>
          </w:tcPr>
          <w:p>
            <w:pPr>
              <w:keepNext/>
              <w:spacing w:line="240" w:lineRule="auto" w:after="0"/>
              <w:jc w:val="center"/>
            </w:pPr>
            <w:r>
              <w:rPr>
                <w:rFonts w:ascii="Times New Roman" w:hAnsi="Times New Roman"/>
                <w:b w:val="0"/>
                <w:i w:val="0"/>
                <w:sz w:val="20"/>
              </w:rPr>
              <w:t>Current</w:t>
            </w:r>
          </w:p>
        </w:tc>
        <w:tc>
          <w:tcPr>
            <w:tcW w:type="dxa" w:w="1440"/>
            <w:tcBorders>
              <w:top w:val="single" w:sz="8" w:space="0" w:color="000000"/>
            </w:tcBorders>
          </w:tcPr>
          <w:p>
            <w:pPr>
              <w:keepNext/>
              <w:spacing w:line="240" w:lineRule="auto" w:after="0"/>
              <w:jc w:val="center"/>
            </w:pPr>
            <w:r>
              <w:rPr>
                <w:rFonts w:ascii="Times New Roman" w:hAnsi="Times New Roman"/>
                <w:b w:val="0"/>
                <w:i w:val="0"/>
                <w:sz w:val="20"/>
              </w:rPr>
              <w:t>Stated</w:t>
            </w:r>
          </w:p>
        </w:tc>
        <w:tc>
          <w:tcPr>
            <w:tcW w:type="dxa" w:w="1440"/>
            <w:tcBorders>
              <w:top w:val="single" w:sz="8" w:space="0" w:color="000000"/>
            </w:tcBorders>
          </w:tcPr>
          <w:p>
            <w:pPr>
              <w:keepNext/>
              <w:spacing w:line="240" w:lineRule="auto" w:after="0"/>
              <w:jc w:val="center"/>
            </w:pPr>
            <w:r>
              <w:rPr>
                <w:rFonts w:ascii="Times New Roman" w:hAnsi="Times New Roman"/>
                <w:b w:val="0"/>
                <w:i w:val="0"/>
                <w:sz w:val="20"/>
              </w:rPr>
              <w:t>Net Zero</w:t>
            </w:r>
          </w:p>
        </w:tc>
        <w:tc>
          <w:tcPr>
            <w:tcW w:type="dxa" w:w="1440"/>
            <w:tcBorders>
              <w:top w:val="single" w:sz="8" w:space="0" w:color="000000"/>
            </w:tcBorders>
          </w:tcPr>
          <w:p>
            <w:pPr>
              <w:keepNext/>
              <w:spacing w:line="240" w:lineRule="auto" w:after="0"/>
              <w:jc w:val="center"/>
            </w:pPr>
            <w:r>
              <w:rPr>
                <w:rFonts w:ascii="Times New Roman" w:hAnsi="Times New Roman"/>
                <w:b w:val="0"/>
                <w:i w:val="0"/>
                <w:sz w:val="20"/>
              </w:rPr>
              <w:t>H2 Push</w:t>
            </w:r>
          </w:p>
        </w:tc>
      </w:tr>
      <w:tr>
        <w:trPr>
          <w:cantSplit/>
          <w:tblHeader/>
        </w:trPr>
        <w:tc>
          <w:tcPr>
            <w:tcW w:type="dxa" w:w="3600"/>
          </w:tcPr>
          <w:p>
            <w:pPr>
              <w:keepNext/>
              <w:spacing w:line="240" w:lineRule="auto" w:after="0"/>
              <w:jc w:val="left"/>
            </w:pPr>
          </w:p>
        </w:tc>
        <w:tc>
          <w:tcPr>
            <w:tcW w:type="dxa" w:w="1440"/>
          </w:tcPr>
          <w:p>
            <w:pPr>
              <w:keepNext/>
              <w:spacing w:line="240" w:lineRule="auto" w:after="0"/>
              <w:jc w:val="center"/>
            </w:pPr>
            <w:r>
              <w:rPr>
                <w:rFonts w:ascii="Times New Roman" w:hAnsi="Times New Roman"/>
                <w:b w:val="0"/>
                <w:i w:val="0"/>
                <w:sz w:val="20"/>
              </w:rPr>
              <w:t>Policies</w:t>
            </w:r>
          </w:p>
        </w:tc>
        <w:tc>
          <w:tcPr>
            <w:tcW w:type="dxa" w:w="1440"/>
          </w:tcPr>
          <w:p>
            <w:pPr>
              <w:keepNext/>
              <w:spacing w:line="240" w:lineRule="auto" w:after="0"/>
              <w:jc w:val="center"/>
            </w:pPr>
            <w:r>
              <w:rPr>
                <w:rFonts w:ascii="Times New Roman" w:hAnsi="Times New Roman"/>
                <w:b w:val="0"/>
                <w:i w:val="0"/>
                <w:sz w:val="20"/>
              </w:rPr>
              <w:t>Policies</w:t>
            </w:r>
          </w:p>
        </w:tc>
        <w:tc>
          <w:tcPr>
            <w:tcW w:type="dxa" w:w="1440"/>
          </w:tcPr>
          <w:p>
            <w:pPr>
              <w:keepNext/>
              <w:spacing w:line="240" w:lineRule="auto" w:after="0"/>
              <w:jc w:val="center"/>
            </w:pPr>
          </w:p>
        </w:tc>
        <w:tc>
          <w:tcPr>
            <w:tcW w:type="dxa" w:w="1440"/>
          </w:tcPr>
          <w:p>
            <w:pPr>
              <w:keepNext/>
              <w:spacing w:line="240" w:lineRule="auto" w:after="0"/>
              <w:jc w:val="center"/>
            </w:pPr>
          </w:p>
        </w:tc>
      </w:tr>
      <w:tr>
        <w:trPr>
          <w:cantSplit/>
        </w:trPr>
        <w:tc>
          <w:tcPr>
            <w:tcW w:type="dxa" w:w="3600"/>
            <w:tcBorders>
              <w:top w:val="single" w:sz="4" w:space="0" w:color="000000"/>
            </w:tcBorders>
          </w:tcPr>
          <w:p>
            <w:pPr>
              <w:keepNext/>
              <w:spacing w:line="240" w:lineRule="auto" w:after="0"/>
              <w:jc w:val="left"/>
            </w:pPr>
            <w:r>
              <w:rPr>
                <w:rFonts w:ascii="Times New Roman" w:hAnsi="Times New Roman"/>
                <w:b w:val="0"/>
                <w:i w:val="0"/>
                <w:sz w:val="20"/>
              </w:rPr>
              <w:t>Envelope rate (vs announced)</w:t>
            </w:r>
            <w:r>
              <w:rPr>
                <w:rFonts w:ascii="Times New Roman" w:hAnsi="Times New Roman"/>
                <w:b w:val="0"/>
                <w:i w:val="0"/>
                <w:sz w:val="20"/>
                <w:vertAlign w:val="superscript"/>
              </w:rPr>
              <w:t>a</w:t>
            </w:r>
          </w:p>
        </w:tc>
        <w:tc>
          <w:tcPr>
            <w:tcW w:type="dxa" w:w="1440"/>
            <w:tcBorders>
              <w:top w:val="single" w:sz="4" w:space="0" w:color="000000"/>
            </w:tcBorders>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0.70</w:t>
            </w:r>
          </w:p>
        </w:tc>
        <w:tc>
          <w:tcPr>
            <w:tcW w:type="dxa" w:w="1440"/>
            <w:tcBorders>
              <w:top w:val="single" w:sz="4" w:space="0" w:color="000000"/>
            </w:tcBorders>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1.00</w:t>
            </w:r>
          </w:p>
        </w:tc>
        <w:tc>
          <w:tcPr>
            <w:tcW w:type="dxa" w:w="1440"/>
            <w:tcBorders>
              <w:top w:val="single" w:sz="4" w:space="0" w:color="000000"/>
            </w:tcBorders>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2.73</w:t>
            </w:r>
          </w:p>
        </w:tc>
        <w:tc>
          <w:tcPr>
            <w:tcW w:type="dxa" w:w="1440"/>
            <w:tcBorders>
              <w:top w:val="single" w:sz="4" w:space="0" w:color="000000"/>
            </w:tcBorders>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1.64</w:t>
            </w:r>
          </w:p>
        </w:tc>
      </w:tr>
      <w:tr>
        <w:trPr>
          <w:cantSplit/>
        </w:trPr>
        <w:tc>
          <w:tcPr>
            <w:tcW w:type="dxa" w:w="3600"/>
          </w:tcPr>
          <w:p>
            <w:pPr>
              <w:keepNext/>
              <w:spacing w:line="240" w:lineRule="auto" w:after="0"/>
              <w:jc w:val="left"/>
            </w:pPr>
            <w:r>
              <w:rPr>
                <w:rFonts w:ascii="Times New Roman" w:hAnsi="Times New Roman"/>
                <w:b w:val="0"/>
                <w:i w:val="0"/>
                <w:sz w:val="20"/>
              </w:rPr>
              <w:t>Carbon-price path</w:t>
            </w:r>
          </w:p>
        </w:tc>
        <w:tc>
          <w:tcPr>
            <w:tcW w:type="dxa" w:w="1440"/>
          </w:tcPr>
          <w:p>
            <w:pPr>
              <w:keepNext/>
              <w:spacing w:line="240" w:lineRule="auto" w:after="0"/>
              <w:jc w:val="center"/>
            </w:pPr>
            <w:r>
              <w:rPr>
                <w:rFonts w:ascii="Times New Roman" w:hAnsi="Times New Roman"/>
                <w:b w:val="0"/>
                <w:i w:val="0"/>
                <w:sz w:val="20"/>
              </w:rPr>
              <w:t>Low</w:t>
            </w:r>
          </w:p>
        </w:tc>
        <w:tc>
          <w:tcPr>
            <w:tcW w:type="dxa" w:w="1440"/>
          </w:tcPr>
          <w:p>
            <w:pPr>
              <w:keepNext/>
              <w:spacing w:line="240" w:lineRule="auto" w:after="0"/>
              <w:jc w:val="center"/>
            </w:pPr>
            <w:r>
              <w:rPr>
                <w:rFonts w:ascii="Times New Roman" w:hAnsi="Times New Roman"/>
                <w:b w:val="0"/>
                <w:i w:val="0"/>
                <w:sz w:val="20"/>
              </w:rPr>
              <w:t>Central</w:t>
            </w:r>
          </w:p>
        </w:tc>
        <w:tc>
          <w:tcPr>
            <w:tcW w:type="dxa" w:w="1440"/>
          </w:tcPr>
          <w:p>
            <w:pPr>
              <w:keepNext/>
              <w:spacing w:line="240" w:lineRule="auto" w:after="0"/>
              <w:jc w:val="center"/>
            </w:pPr>
            <w:r>
              <w:rPr>
                <w:rFonts w:ascii="Times New Roman" w:hAnsi="Times New Roman"/>
                <w:b w:val="0"/>
                <w:i w:val="0"/>
                <w:sz w:val="20"/>
              </w:rPr>
              <w:t>High</w:t>
            </w:r>
          </w:p>
        </w:tc>
        <w:tc>
          <w:tcPr>
            <w:tcW w:type="dxa" w:w="1440"/>
          </w:tcPr>
          <w:p>
            <w:pPr>
              <w:keepNext/>
              <w:spacing w:line="240" w:lineRule="auto" w:after="0"/>
              <w:jc w:val="center"/>
            </w:pPr>
            <w:r>
              <w:rPr>
                <w:rFonts w:ascii="Times New Roman" w:hAnsi="Times New Roman"/>
                <w:b w:val="0"/>
                <w:i w:val="0"/>
                <w:sz w:val="20"/>
              </w:rPr>
              <w:t>High</w:t>
            </w:r>
          </w:p>
        </w:tc>
      </w:tr>
      <w:tr>
        <w:trPr>
          <w:cantSplit/>
        </w:trPr>
        <w:tc>
          <w:tcPr>
            <w:tcW w:type="dxa" w:w="3600"/>
          </w:tcPr>
          <w:p>
            <w:pPr>
              <w:keepNext/>
              <w:spacing w:line="240" w:lineRule="auto" w:after="0"/>
              <w:jc w:val="left"/>
            </w:pPr>
            <w:r>
              <w:rPr>
                <w:rFonts w:ascii="Times New Roman" w:hAnsi="Times New Roman"/>
                <w:b w:val="0"/>
                <w:i w:val="0"/>
                <w:sz w:val="20"/>
              </w:rPr>
              <w:t>Hydrogen-price path</w:t>
            </w:r>
          </w:p>
        </w:tc>
        <w:tc>
          <w:tcPr>
            <w:tcW w:type="dxa" w:w="1440"/>
          </w:tcPr>
          <w:p>
            <w:pPr>
              <w:keepNext/>
              <w:spacing w:line="240" w:lineRule="auto" w:after="0"/>
              <w:jc w:val="center"/>
            </w:pPr>
            <w:r>
              <w:rPr>
                <w:rFonts w:ascii="Times New Roman" w:hAnsi="Times New Roman"/>
                <w:b w:val="0"/>
                <w:i w:val="0"/>
                <w:sz w:val="20"/>
              </w:rPr>
              <w:t>Stranded</w:t>
            </w:r>
          </w:p>
        </w:tc>
        <w:tc>
          <w:tcPr>
            <w:tcW w:type="dxa" w:w="1440"/>
          </w:tcPr>
          <w:p>
            <w:pPr>
              <w:keepNext/>
              <w:spacing w:line="240" w:lineRule="auto" w:after="0"/>
              <w:jc w:val="center"/>
            </w:pPr>
            <w:r>
              <w:rPr>
                <w:rFonts w:ascii="Times New Roman" w:hAnsi="Times New Roman"/>
                <w:b w:val="0"/>
                <w:i w:val="0"/>
                <w:sz w:val="20"/>
              </w:rPr>
              <w:t>Central</w:t>
            </w:r>
          </w:p>
        </w:tc>
        <w:tc>
          <w:tcPr>
            <w:tcW w:type="dxa" w:w="1440"/>
          </w:tcPr>
          <w:p>
            <w:pPr>
              <w:keepNext/>
              <w:spacing w:line="240" w:lineRule="auto" w:after="0"/>
              <w:jc w:val="center"/>
            </w:pPr>
            <w:r>
              <w:rPr>
                <w:rFonts w:ascii="Times New Roman" w:hAnsi="Times New Roman"/>
                <w:b w:val="0"/>
                <w:i w:val="0"/>
                <w:sz w:val="20"/>
              </w:rPr>
              <w:t>Central</w:t>
            </w:r>
          </w:p>
        </w:tc>
        <w:tc>
          <w:tcPr>
            <w:tcW w:type="dxa" w:w="1440"/>
          </w:tcPr>
          <w:p>
            <w:pPr>
              <w:keepNext/>
              <w:spacing w:line="240" w:lineRule="auto" w:after="0"/>
              <w:jc w:val="center"/>
            </w:pPr>
            <w:r>
              <w:rPr>
                <w:rFonts w:ascii="Times New Roman" w:hAnsi="Times New Roman"/>
                <w:b w:val="0"/>
                <w:i w:val="0"/>
                <w:sz w:val="20"/>
              </w:rPr>
              <w:t>Rapid</w:t>
            </w:r>
          </w:p>
        </w:tc>
      </w:tr>
      <w:tr>
        <w:trPr>
          <w:cantSplit/>
        </w:trPr>
        <w:tc>
          <w:tcPr>
            <w:tcW w:type="dxa" w:w="3600"/>
          </w:tcPr>
          <w:p>
            <w:pPr>
              <w:keepNext/>
              <w:spacing w:line="240" w:lineRule="auto" w:after="0"/>
              <w:jc w:val="left"/>
            </w:pPr>
            <w:r>
              <w:rPr>
                <w:rFonts w:ascii="Times New Roman" w:hAnsi="Times New Roman"/>
                <w:b w:val="0"/>
                <w:i w:val="0"/>
                <w:sz w:val="20"/>
              </w:rPr>
              <w:t>Grid-decarbonisation speed</w:t>
            </w:r>
            <w:r>
              <w:rPr>
                <w:rFonts w:ascii="Times New Roman" w:hAnsi="Times New Roman"/>
                <w:b w:val="0"/>
                <w:i w:val="0"/>
                <w:sz w:val="20"/>
                <w:vertAlign w:val="superscript"/>
              </w:rPr>
              <w:t>a</w:t>
            </w:r>
          </w:p>
        </w:tc>
        <w:tc>
          <w:tcPr>
            <w:tcW w:type="dxa" w:w="1440"/>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1.15</w:t>
            </w:r>
          </w:p>
        </w:tc>
        <w:tc>
          <w:tcPr>
            <w:tcW w:type="dxa" w:w="1440"/>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1.00</w:t>
            </w:r>
          </w:p>
        </w:tc>
        <w:tc>
          <w:tcPr>
            <w:tcW w:type="dxa" w:w="1440"/>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0.70</w:t>
            </w:r>
          </w:p>
        </w:tc>
        <w:tc>
          <w:tcPr>
            <w:tcW w:type="dxa" w:w="1440"/>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1.00</w:t>
            </w:r>
          </w:p>
        </w:tc>
      </w:tr>
      <w:tr>
        <w:trPr>
          <w:cantSplit/>
        </w:trPr>
        <w:tc>
          <w:tcPr>
            <w:tcW w:type="dxa" w:w="3600"/>
          </w:tcPr>
          <w:p>
            <w:pPr>
              <w:keepNext/>
              <w:spacing w:line="240" w:lineRule="auto" w:after="0"/>
              <w:jc w:val="left"/>
            </w:pPr>
            <w:r>
              <w:rPr>
                <w:rFonts w:ascii="Times New Roman" w:hAnsi="Times New Roman"/>
                <w:b w:val="0"/>
                <w:i w:val="0"/>
                <w:sz w:val="20"/>
              </w:rPr>
              <w:t>Fossil share 2050 (ambition)</w:t>
            </w:r>
            <w:r>
              <w:rPr>
                <w:rFonts w:ascii="Times New Roman" w:hAnsi="Times New Roman"/>
                <w:b w:val="0"/>
                <w:i w:val="0"/>
                <w:sz w:val="20"/>
                <w:vertAlign w:val="superscript"/>
              </w:rPr>
              <w:t>c</w:t>
            </w:r>
          </w:p>
        </w:tc>
        <w:tc>
          <w:tcPr>
            <w:tcW w:type="dxa" w:w="1440"/>
          </w:tcPr>
          <w:p>
            <w:pPr>
              <w:keepNext/>
              <w:spacing w:line="240" w:lineRule="auto" w:after="0"/>
              <w:jc w:val="center"/>
            </w:pPr>
            <w:r>
              <w:rPr>
                <w:rFonts w:ascii="Times New Roman" w:hAnsi="Times New Roman"/>
                <w:b w:val="0"/>
                <w:i w:val="0"/>
                <w:sz w:val="20"/>
              </w:rPr>
              <w:t>40%</w:t>
            </w:r>
          </w:p>
        </w:tc>
        <w:tc>
          <w:tcPr>
            <w:tcW w:type="dxa" w:w="1440"/>
          </w:tcPr>
          <w:p>
            <w:pPr>
              <w:keepNext/>
              <w:spacing w:line="240" w:lineRule="auto" w:after="0"/>
              <w:jc w:val="center"/>
            </w:pPr>
            <w:r>
              <w:rPr>
                <w:rFonts w:ascii="Times New Roman" w:hAnsi="Times New Roman"/>
                <w:b w:val="0"/>
                <w:i w:val="0"/>
                <w:sz w:val="20"/>
              </w:rPr>
              <w:t>27%</w:t>
            </w:r>
          </w:p>
        </w:tc>
        <w:tc>
          <w:tcPr>
            <w:tcW w:type="dxa" w:w="1440"/>
          </w:tcPr>
          <w:p>
            <w:pPr>
              <w:keepNext/>
              <w:spacing w:line="240" w:lineRule="auto" w:after="0"/>
              <w:jc w:val="center"/>
            </w:pPr>
            <w:r>
              <w:rPr>
                <w:rFonts w:ascii="Times New Roman" w:hAnsi="Times New Roman"/>
                <w:b w:val="0"/>
                <w:i w:val="0"/>
                <w:sz w:val="20"/>
              </w:rPr>
              <w:t>5%</w:t>
            </w:r>
          </w:p>
        </w:tc>
        <w:tc>
          <w:tcPr>
            <w:tcW w:type="dxa" w:w="1440"/>
          </w:tcPr>
          <w:p>
            <w:pPr>
              <w:keepNext/>
              <w:spacing w:line="240" w:lineRule="auto" w:after="0"/>
              <w:jc w:val="center"/>
            </w:pPr>
            <w:r>
              <w:rPr>
                <w:rFonts w:ascii="Times New Roman" w:hAnsi="Times New Roman"/>
                <w:b w:val="0"/>
                <w:i w:val="0"/>
                <w:sz w:val="20"/>
              </w:rPr>
              <w:t>15%</w:t>
            </w:r>
          </w:p>
        </w:tc>
      </w:tr>
      <w:tr>
        <w:trPr>
          <w:cantSplit/>
        </w:trPr>
        <w:tc>
          <w:tcPr>
            <w:tcW w:type="dxa" w:w="3600"/>
          </w:tcPr>
          <w:p>
            <w:pPr>
              <w:keepNext/>
              <w:spacing w:line="240" w:lineRule="auto" w:after="0"/>
              <w:jc w:val="left"/>
            </w:pPr>
            <w:r>
              <w:rPr>
                <w:rFonts w:ascii="Times New Roman" w:hAnsi="Times New Roman"/>
                <w:b w:val="0"/>
                <w:i w:val="0"/>
                <w:sz w:val="20"/>
              </w:rPr>
              <w:t>Heat-pump target 2050</w:t>
            </w:r>
            <w:r>
              <w:rPr>
                <w:rFonts w:ascii="Times New Roman" w:hAnsi="Times New Roman"/>
                <w:b w:val="0"/>
                <w:i w:val="0"/>
                <w:sz w:val="20"/>
                <w:vertAlign w:val="superscript"/>
              </w:rPr>
              <w:t>c</w:t>
            </w:r>
          </w:p>
        </w:tc>
        <w:tc>
          <w:tcPr>
            <w:tcW w:type="dxa" w:w="1440"/>
          </w:tcPr>
          <w:p>
            <w:pPr>
              <w:keepNext/>
              <w:spacing w:line="240" w:lineRule="auto" w:after="0"/>
              <w:jc w:val="center"/>
            </w:pPr>
            <w:r>
              <w:rPr>
                <w:rFonts w:ascii="Times New Roman" w:hAnsi="Times New Roman"/>
                <w:b w:val="0"/>
                <w:i w:val="0"/>
                <w:sz w:val="20"/>
              </w:rPr>
              <w:t>40%</w:t>
            </w:r>
          </w:p>
        </w:tc>
        <w:tc>
          <w:tcPr>
            <w:tcW w:type="dxa" w:w="1440"/>
          </w:tcPr>
          <w:p>
            <w:pPr>
              <w:keepNext/>
              <w:spacing w:line="240" w:lineRule="auto" w:after="0"/>
              <w:jc w:val="center"/>
            </w:pPr>
            <w:r>
              <w:rPr>
                <w:rFonts w:ascii="Times New Roman" w:hAnsi="Times New Roman"/>
                <w:b w:val="0"/>
                <w:i w:val="0"/>
                <w:sz w:val="20"/>
              </w:rPr>
              <w:t>50%</w:t>
            </w:r>
          </w:p>
        </w:tc>
        <w:tc>
          <w:tcPr>
            <w:tcW w:type="dxa" w:w="1440"/>
          </w:tcPr>
          <w:p>
            <w:pPr>
              <w:keepNext/>
              <w:spacing w:line="240" w:lineRule="auto" w:after="0"/>
              <w:jc w:val="center"/>
            </w:pPr>
            <w:r>
              <w:rPr>
                <w:rFonts w:ascii="Times New Roman" w:hAnsi="Times New Roman"/>
                <w:b w:val="0"/>
                <w:i w:val="0"/>
                <w:sz w:val="20"/>
              </w:rPr>
              <w:t>62%</w:t>
            </w:r>
          </w:p>
        </w:tc>
        <w:tc>
          <w:tcPr>
            <w:tcW w:type="dxa" w:w="1440"/>
          </w:tcPr>
          <w:p>
            <w:pPr>
              <w:keepNext/>
              <w:spacing w:line="240" w:lineRule="auto" w:after="0"/>
              <w:jc w:val="center"/>
            </w:pPr>
            <w:r>
              <w:rPr>
                <w:rFonts w:ascii="Times New Roman" w:hAnsi="Times New Roman"/>
                <w:b w:val="0"/>
                <w:i w:val="0"/>
                <w:sz w:val="20"/>
              </w:rPr>
              <w:t>46%</w:t>
            </w:r>
          </w:p>
        </w:tc>
      </w:tr>
      <w:tr>
        <w:trPr>
          <w:cantSplit/>
        </w:trPr>
        <w:tc>
          <w:tcPr>
            <w:tcW w:type="dxa" w:w="3600"/>
          </w:tcPr>
          <w:p>
            <w:pPr>
              <w:keepNext/>
              <w:spacing w:line="240" w:lineRule="auto" w:after="0"/>
              <w:jc w:val="left"/>
            </w:pPr>
            <w:r>
              <w:rPr>
                <w:rFonts w:ascii="Times New Roman" w:hAnsi="Times New Roman"/>
                <w:b w:val="0"/>
                <w:i w:val="0"/>
                <w:sz w:val="20"/>
              </w:rPr>
              <w:t>District-heat target 2050</w:t>
            </w:r>
            <w:r>
              <w:rPr>
                <w:rFonts w:ascii="Times New Roman" w:hAnsi="Times New Roman"/>
                <w:b w:val="0"/>
                <w:i w:val="0"/>
                <w:sz w:val="20"/>
                <w:vertAlign w:val="superscript"/>
              </w:rPr>
              <w:t>c</w:t>
            </w:r>
          </w:p>
        </w:tc>
        <w:tc>
          <w:tcPr>
            <w:tcW w:type="dxa" w:w="1440"/>
          </w:tcPr>
          <w:p>
            <w:pPr>
              <w:keepNext/>
              <w:spacing w:line="240" w:lineRule="auto" w:after="0"/>
              <w:jc w:val="center"/>
            </w:pPr>
            <w:r>
              <w:rPr>
                <w:rFonts w:ascii="Times New Roman" w:hAnsi="Times New Roman"/>
                <w:b w:val="0"/>
                <w:i w:val="0"/>
                <w:sz w:val="20"/>
              </w:rPr>
              <w:t>16%</w:t>
            </w:r>
          </w:p>
        </w:tc>
        <w:tc>
          <w:tcPr>
            <w:tcW w:type="dxa" w:w="1440"/>
          </w:tcPr>
          <w:p>
            <w:pPr>
              <w:keepNext/>
              <w:spacing w:line="240" w:lineRule="auto" w:after="0"/>
              <w:jc w:val="center"/>
            </w:pPr>
            <w:r>
              <w:rPr>
                <w:rFonts w:ascii="Times New Roman" w:hAnsi="Times New Roman"/>
                <w:b w:val="0"/>
                <w:i w:val="0"/>
                <w:sz w:val="20"/>
              </w:rPr>
              <w:t>18%</w:t>
            </w:r>
          </w:p>
        </w:tc>
        <w:tc>
          <w:tcPr>
            <w:tcW w:type="dxa" w:w="1440"/>
          </w:tcPr>
          <w:p>
            <w:pPr>
              <w:keepNext/>
              <w:spacing w:line="240" w:lineRule="auto" w:after="0"/>
              <w:jc w:val="center"/>
            </w:pPr>
            <w:r>
              <w:rPr>
                <w:rFonts w:ascii="Times New Roman" w:hAnsi="Times New Roman"/>
                <w:b w:val="0"/>
                <w:i w:val="0"/>
                <w:sz w:val="20"/>
              </w:rPr>
              <w:t>22%</w:t>
            </w:r>
          </w:p>
        </w:tc>
        <w:tc>
          <w:tcPr>
            <w:tcW w:type="dxa" w:w="1440"/>
          </w:tcPr>
          <w:p>
            <w:pPr>
              <w:keepNext/>
              <w:spacing w:line="240" w:lineRule="auto" w:after="0"/>
              <w:jc w:val="center"/>
            </w:pPr>
            <w:r>
              <w:rPr>
                <w:rFonts w:ascii="Times New Roman" w:hAnsi="Times New Roman"/>
                <w:b w:val="0"/>
                <w:i w:val="0"/>
                <w:sz w:val="20"/>
              </w:rPr>
              <w:t>20%</w:t>
            </w:r>
          </w:p>
        </w:tc>
      </w:tr>
      <w:tr>
        <w:trPr>
          <w:cantSplit/>
        </w:trPr>
        <w:tc>
          <w:tcPr>
            <w:tcW w:type="dxa" w:w="3600"/>
          </w:tcPr>
          <w:p>
            <w:pPr>
              <w:keepNext/>
              <w:spacing w:line="240" w:lineRule="auto" w:after="0"/>
              <w:jc w:val="left"/>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xml:space="preserve"> </w:t>
            </w:r>
            <w:r>
              <w:rPr>
                <w:rFonts w:ascii="Times New Roman" w:hAnsi="Times New Roman"/>
                <w:b w:val="0"/>
                <w:i w:val="0"/>
                <w:sz w:val="20"/>
              </w:rPr>
              <w:t>adoption setting 2050</w:t>
            </w:r>
            <w:r>
              <w:rPr>
                <w:rFonts w:ascii="Times New Roman" w:hAnsi="Times New Roman"/>
                <w:b w:val="0"/>
                <w:i w:val="0"/>
                <w:sz w:val="20"/>
                <w:vertAlign w:val="superscript"/>
              </w:rPr>
              <w:t>b,c</w:t>
            </w:r>
          </w:p>
        </w:tc>
        <w:tc>
          <w:tcPr>
            <w:tcW w:type="dxa" w:w="1440"/>
          </w:tcPr>
          <w:p>
            <w:pPr>
              <w:keepNext/>
              <w:spacing w:line="240" w:lineRule="auto" w:after="0"/>
              <w:jc w:val="center"/>
            </w:pPr>
            <w:r>
              <w:rPr>
                <w:rFonts w:ascii="Times New Roman" w:hAnsi="Times New Roman"/>
                <w:b w:val="0"/>
                <w:i w:val="0"/>
                <w:sz w:val="20"/>
              </w:rPr>
              <w:t>0%</w:t>
            </w:r>
          </w:p>
        </w:tc>
        <w:tc>
          <w:tcPr>
            <w:tcW w:type="dxa" w:w="1440"/>
          </w:tcPr>
          <w:p>
            <w:pPr>
              <w:keepNext/>
              <w:spacing w:line="240" w:lineRule="auto" w:after="0"/>
              <w:jc w:val="center"/>
            </w:pPr>
            <w:r>
              <w:rPr>
                <w:rFonts w:ascii="Times New Roman" w:hAnsi="Times New Roman"/>
                <w:b w:val="0"/>
                <w:i w:val="0"/>
                <w:sz w:val="20"/>
              </w:rPr>
              <w:t>5%</w:t>
            </w:r>
          </w:p>
        </w:tc>
        <w:tc>
          <w:tcPr>
            <w:tcW w:type="dxa" w:w="1440"/>
          </w:tcPr>
          <w:p>
            <w:pPr>
              <w:keepNext/>
              <w:spacing w:line="240" w:lineRule="auto" w:after="0"/>
              <w:jc w:val="center"/>
            </w:pPr>
            <w:r>
              <w:rPr>
                <w:rFonts w:ascii="Times New Roman" w:hAnsi="Times New Roman"/>
                <w:b w:val="0"/>
                <w:i w:val="0"/>
                <w:sz w:val="20"/>
              </w:rPr>
              <w:t>3%</w:t>
            </w:r>
          </w:p>
        </w:tc>
        <w:tc>
          <w:tcPr>
            <w:tcW w:type="dxa" w:w="1440"/>
          </w:tcPr>
          <w:p>
            <w:pPr>
              <w:keepNext/>
              <w:spacing w:line="240" w:lineRule="auto" w:after="0"/>
              <w:jc w:val="center"/>
            </w:pPr>
            <w:r>
              <w:rPr>
                <w:rFonts w:ascii="Times New Roman" w:hAnsi="Times New Roman"/>
                <w:b w:val="0"/>
                <w:i w:val="0"/>
                <w:sz w:val="20"/>
              </w:rPr>
              <w:t>8%</w:t>
            </w:r>
          </w:p>
        </w:tc>
      </w:tr>
      <w:tr>
        <w:trPr>
          <w:cantSplit/>
        </w:trPr>
        <w:tc>
          <w:tcPr>
            <w:tcW w:type="dxa" w:w="9360"/>
            <w:gridSpan w:val="5"/>
            <w:tcBorders>
              <w:top w:val="single" w:sz="4" w:space="0" w:color="000000"/>
            </w:tcBorders>
          </w:tcPr>
          <w:p>
            <w:pPr>
              <w:keepNext/>
              <w:spacing w:line="240" w:lineRule="auto" w:after="0"/>
              <w:jc w:val="left"/>
            </w:pPr>
            <w:r>
              <w:rPr>
                <w:rFonts w:ascii="Times New Roman" w:hAnsi="Times New Roman"/>
                <w:b w:val="0"/>
                <w:i/>
                <w:sz w:val="20"/>
              </w:rPr>
              <w:t>Derived diagnostic; not a lever and not used to set adoption</w:t>
            </w:r>
          </w:p>
        </w:tc>
      </w:tr>
      <w:tr>
        <w:trPr>
          <w:cantSplit/>
        </w:trPr>
        <w:tc>
          <w:tcPr>
            <w:tcW w:type="dxa" w:w="3600"/>
            <w:tcBorders>
              <w:bottom w:val="single" w:sz="8" w:space="0" w:color="000000"/>
            </w:tcBorders>
          </w:tcPr>
          <w:p>
            <w:pPr>
              <w:keepNext w:val="0"/>
              <w:spacing w:line="240" w:lineRule="auto" w:after="0"/>
              <w:jc w:val="left"/>
            </w:pPr>
            <w:r>
              <w:rPr>
                <w:rFonts w:ascii="Times New Roman" w:hAnsi="Times New Roman"/>
                <w:b w:val="0"/>
                <w:i w:val="0"/>
                <w:sz w:val="20"/>
              </w:rPr>
              <w:t>Dispatch-supported potential</w:t>
            </w:r>
            <w:r>
              <w:rPr>
                <w:rFonts w:ascii="Times New Roman" w:hAnsi="Times New Roman"/>
                <w:b w:val="0"/>
                <w:i w:val="0"/>
                <w:sz w:val="20"/>
                <w:vertAlign w:val="superscript"/>
              </w:rPr>
              <w:t>d</w:t>
            </w:r>
          </w:p>
        </w:tc>
        <w:tc>
          <w:tcPr>
            <w:tcW w:type="dxa" w:w="1440"/>
            <w:tcBorders>
              <w:bottom w:val="single" w:sz="8" w:space="0" w:color="000000"/>
            </w:tcBorders>
          </w:tcPr>
          <w:p>
            <w:pPr>
              <w:keepNext w:val="0"/>
              <w:spacing w:line="240" w:lineRule="auto" w:after="0"/>
              <w:jc w:val="center"/>
            </w:pPr>
            <w:r>
              <w:rPr>
                <w:rFonts w:ascii="Times New Roman" w:hAnsi="Times New Roman"/>
                <w:b w:val="0"/>
                <w:i w:val="0"/>
                <w:sz w:val="20"/>
              </w:rPr>
              <w:t>0%</w:t>
            </w:r>
          </w:p>
        </w:tc>
        <w:tc>
          <w:tcPr>
            <w:tcW w:type="dxa" w:w="1440"/>
            <w:tcBorders>
              <w:bottom w:val="single" w:sz="8" w:space="0" w:color="000000"/>
            </w:tcBorders>
          </w:tcPr>
          <w:p>
            <w:pPr>
              <w:keepNext w:val="0"/>
              <w:spacing w:line="240" w:lineRule="auto" w:after="0"/>
              <w:jc w:val="center"/>
            </w:pPr>
            <w:r>
              <w:rPr>
                <w:rFonts w:ascii="Times New Roman" w:hAnsi="Times New Roman"/>
                <w:b w:val="0"/>
                <w:i w:val="0"/>
                <w:sz w:val="20"/>
              </w:rPr>
              <w:t>0.6%</w:t>
            </w:r>
          </w:p>
        </w:tc>
        <w:tc>
          <w:tcPr>
            <w:tcW w:type="dxa" w:w="1440"/>
            <w:tcBorders>
              <w:bottom w:val="single" w:sz="8" w:space="0" w:color="000000"/>
            </w:tcBorders>
          </w:tcPr>
          <w:p>
            <w:pPr>
              <w:keepNext w:val="0"/>
              <w:spacing w:line="240" w:lineRule="auto" w:after="0"/>
              <w:jc w:val="center"/>
            </w:pPr>
            <w:r>
              <w:rPr>
                <w:rFonts w:ascii="Times New Roman" w:hAnsi="Times New Roman"/>
                <w:b w:val="0"/>
                <w:i w:val="0"/>
                <w:sz w:val="20"/>
              </w:rPr>
              <w:t>7.5%</w:t>
            </w:r>
          </w:p>
        </w:tc>
        <w:tc>
          <w:tcPr>
            <w:tcW w:type="dxa" w:w="1440"/>
            <w:tcBorders>
              <w:bottom w:val="single" w:sz="8" w:space="0" w:color="000000"/>
            </w:tcBorders>
          </w:tcPr>
          <w:p>
            <w:pPr>
              <w:keepNext w:val="0"/>
              <w:spacing w:line="240" w:lineRule="auto" w:after="0"/>
              <w:jc w:val="center"/>
            </w:pPr>
            <w:r>
              <w:rPr>
                <w:rFonts w:ascii="Times New Roman" w:hAnsi="Times New Roman"/>
                <w:b w:val="0"/>
                <w:i w:val="0"/>
                <w:sz w:val="20"/>
              </w:rPr>
              <w:t>9.0%</w:t>
            </w:r>
          </w:p>
        </w:tc>
      </w:tr>
    </w:tbl>
    <w:bookmarkEnd w:id="19"/>
    <w:p>
      <w:pPr>
        <w:pStyle w:val="BodyText"/>
        <w:spacing w:before="120"/>
        <w:jc w:val="left"/>
      </w:pPr>
      <w:r>
        <w:rPr>
          <w:rFonts w:ascii="Times New Roman" w:hAnsi="Times New Roman"/>
          <w:sz w:val="24"/>
          <w:vertAlign w:val="superscript"/>
        </w:rPr>
        <w:t xml:space="preserve">a</w:t>
      </w:r>
      <w:r>
        <w:rPr>
          <w:rFonts w:ascii="Times New Roman" w:hAnsi="Times New Roman"/>
          <w:sz w:val="24"/>
        </w:rPr>
        <w:t xml:space="preserve"> </w:t>
      </w:r>
      <w:r>
        <w:rPr>
          <w:rFonts w:ascii="Times New Roman" w:hAnsi="Times New Roman"/>
          <w:sz w:val="24"/>
        </w:rPr>
        <w:t xml:space="preserve">Multipliers on the announced-policy (Stated Policies) central case.</w:t>
      </w:r>
      <w:r>
        <w:rPr>
          <w:rFonts w:ascii="Times New Roman" w:hAnsi="Times New Roman"/>
          <w:sz w:val="24"/>
        </w:rPr>
        <w:br/>
      </w:r>
      <w:r>
        <w:rPr>
          <w:rFonts w:ascii="Times New Roman" w:hAnsi="Times New Roman"/>
          <w:sz w:val="24"/>
          <w:vertAlign w:val="superscript"/>
        </w:rPr>
        <w:t xml:space="preserve">b</w:t>
      </w:r>
      <w:r>
        <w:rPr>
          <w:rFonts w:ascii="Times New Roman" w:hAnsi="Times New Roman"/>
          <w:sz w:val="24"/>
        </w:rPr>
        <w:t xml:space="preserve"> </w:t>
      </w:r>
      <w:r>
        <w:rPr>
          <w:rFonts w:ascii="Times New Roman" w:hAnsi="Times New Roman"/>
          <w:sz w:val="24"/>
        </w:rPr>
        <w:t xml:space="preserve">An exogenous adoption pathway, not an output of the dispatch screen.</w:t>
      </w:r>
      <w:r>
        <w:rPr>
          <w:rFonts w:ascii="Times New Roman" w:hAnsi="Times New Roman"/>
          <w:sz w:val="24"/>
        </w:rPr>
        <w:br/>
      </w:r>
      <w:r>
        <w:rPr>
          <w:rFonts w:ascii="Times New Roman" w:hAnsi="Times New Roman"/>
          <w:sz w:val="24"/>
          <w:vertAlign w:val="superscript"/>
        </w:rPr>
        <w:t xml:space="preserve">c</w:t>
      </w:r>
      <w:r>
        <w:rPr>
          <w:rFonts w:ascii="Times New Roman" w:hAnsi="Times New Roman"/>
          <w:sz w:val="24"/>
        </w:rPr>
        <w:t xml:space="preserve"> </w:t>
      </w:r>
      <w:r>
        <w:rPr>
          <w:rFonts w:ascii="Times New Roman" w:hAnsi="Times New Roman"/>
          <w:sz w:val="24"/>
        </w:rPr>
        <w:t xml:space="preserve">Share settings are Monte Carlo means rather than hard caps, so</w:t>
      </w:r>
      <w:r>
        <w:rPr>
          <w:rFonts w:ascii="Times New Roman" w:hAnsi="Times New Roman"/>
          <w:sz w:val="24"/>
        </w:rPr>
        <w:t xml:space="preserve"> </w:t>
      </w:r>
      <w:r>
        <w:rPr>
          <w:rFonts w:ascii="Times New Roman" w:hAnsi="Times New Roman"/>
          <w:sz w:val="24"/>
        </w:rPr>
        <w:t xml:space="preserve">realised medians sit slightly above them. Supplementary Table S4 repeats the levers.</w:t>
      </w:r>
      <w:r>
        <w:rPr>
          <w:rFonts w:ascii="Times New Roman" w:hAnsi="Times New Roman"/>
          <w:sz w:val="24"/>
        </w:rPr>
        <w:br/>
      </w:r>
      <w:r>
        <w:rPr>
          <w:rFonts w:ascii="Times New Roman" w:hAnsi="Times New Roman"/>
          <w:sz w:val="24"/>
          <w:vertAlign w:val="superscript"/>
        </w:rPr>
        <w:t xml:space="preserve">d</w:t>
      </w:r>
      <w:r>
        <w:rPr>
          <w:rFonts w:ascii="Times New Roman" w:hAnsi="Times New Roman"/>
          <w:sz w:val="24"/>
        </w:rPr>
        <w:t xml:space="preserve"> </w:t>
      </w:r>
      <w:r>
        <w:rPr>
          <w:rFonts w:ascii="Times New Roman" w:hAnsi="Times New Roman"/>
          <w:sz w:val="24"/>
        </w:rPr>
        <w:t xml:space="preserve">The demand-weighted peak slice the symmetric screen supports, at the</w:t>
      </w:r>
      <w:r>
        <w:rPr>
          <w:rFonts w:ascii="Times New Roman" w:hAnsi="Times New Roman"/>
          <w:sz w:val="24"/>
        </w:rPr>
        <w:t xml:space="preserve"> </w:t>
      </w:r>
      <w:r>
        <w:rPr>
          <w:rFonts w:ascii="Times New Roman" w:hAnsi="Times New Roman"/>
          <w:sz w:val="24"/>
        </w:rPr>
        <w:t xml:space="preserve">central scarcity margin and derate. Stated Policies sets adoption above it</w:t>
      </w:r>
      <w:r>
        <w:rPr>
          <w:rFonts w:ascii="Times New Roman" w:hAnsi="Times New Roman"/>
          <w:sz w:val="24"/>
        </w:rPr>
        <w:t xml:space="preserve"> </w:t>
      </w:r>
      <w:r>
        <w:rPr>
          <w:rFonts w:ascii="Times New Roman" w:hAnsi="Times New Roman"/>
          <w:sz w:val="24"/>
        </w:rPr>
        <w:t xml:space="preserve">(Section 3.3). The sensitivity excluding hydrogen last-mile</w:t>
      </w:r>
      <w:r>
        <w:rPr>
          <w:rFonts w:ascii="Times New Roman" w:hAnsi="Times New Roman"/>
          <w:sz w:val="24"/>
        </w:rPr>
        <w:t xml:space="preserve"> </w:t>
      </w:r>
      <w:r>
        <w:rPr>
          <w:rFonts w:ascii="Times New Roman" w:hAnsi="Times New Roman"/>
          <w:sz w:val="24"/>
        </w:rPr>
        <w:t xml:space="preserve">distribution and using the residential rather than wholesale gas tariff gives 0, 5.1,</w:t>
      </w:r>
      <w:r>
        <w:rPr>
          <w:rFonts w:ascii="Times New Roman" w:hAnsi="Times New Roman"/>
          <w:sz w:val="24"/>
        </w:rPr>
        <w:t xml:space="preserve"> </w:t>
      </w:r>
      <w:r>
        <w:rPr>
          <w:rFonts w:ascii="Times New Roman" w:hAnsi="Times New Roman"/>
          <w:sz w:val="24"/>
        </w:rPr>
        <w:t xml:space="preserve">7.9 and 9.3 per cent (Supplementary Sections S1.3 and S1.6).</w:t>
      </w:r>
      <w:r>
        <w:rPr>
          <w:rFonts w:ascii="Times New Roman" w:hAnsi="Times New Roman"/>
          <w:sz w:val="24"/>
        </w:rPr>
        <w:br/>
      </w:r>
      <w:r>
        <w:rPr>
          <w:rFonts w:ascii="Times New Roman" w:hAnsi="Times New Roman"/>
          <w:i/>
          <w:iCs/>
          <w:sz w:val="24"/>
        </w:rPr>
        <w:t xml:space="preserve">Source: Authors’ contribution.</w:t>
      </w:r>
    </w:p>
    <w:bookmarkStart w:id="20" w:name="weather-series-for-the-power-layer"/>
    <w:p>
      <w:pPr/>
      <w:r>
        <w:rPr>
          <w:rFonts w:ascii="Times New Roman" w:hAnsi="Times New Roman"/>
          <w:b/>
          <w:sz w:val="24"/>
        </w:rPr>
        <w:t xml:space="preserve">Weather series for the power layer</w:t>
      </w:r>
    </w:p>
    <w:p>
      <w:pPr>
        <w:pStyle w:val="FirstParagraph"/>
      </w:pPr>
      <w:r>
        <w:rPr>
          <w:rFonts w:ascii="Times New Roman" w:hAnsi="Times New Roman"/>
          <w:sz w:val="24"/>
        </w:rPr>
        <w:t xml:space="preserve">The weather construction is the dominant limitation on the power-sector results. The</w:t>
      </w:r>
      <w:r>
        <w:rPr>
          <w:rFonts w:ascii="Times New Roman" w:hAnsi="Times New Roman"/>
          <w:sz w:val="24"/>
        </w:rPr>
        <w:t xml:space="preserve"> </w:t>
      </w:r>
      <w:r>
        <w:rPr>
          <w:rFonts w:ascii="Times New Roman" w:hAnsi="Times New Roman"/>
          <w:sz w:val="24"/>
        </w:rPr>
        <w:t xml:space="preserve">power layer uses one synthetic hourly year rather than reanalysis or metered data.</w:t>
      </w:r>
      <w:r>
        <w:rPr>
          <w:rFonts w:ascii="Times New Roman" w:hAnsi="Times New Roman"/>
          <w:sz w:val="24"/>
        </w:rPr>
        <w:t xml:space="preserve"> </w:t>
      </w:r>
      <w:r>
        <w:rPr>
          <w:rFonts w:ascii="Times New Roman" w:hAnsi="Times New Roman"/>
          <w:sz w:val="24"/>
        </w:rPr>
        <w:t xml:space="preserve">Hourly heat demand is a seasonal profile</w:t>
      </w:r>
      <w:r>
        <w:rPr>
          <w:rFonts w:ascii="Times New Roman" w:hAnsi="Times New Roman"/>
          <w:sz w:val="24"/>
        </w:rPr>
        <w:t xml:space="preserve"> </w:t>
      </w:r>
      <w:r>
        <w:rPr>
          <w:rFonts w:ascii="Times New Roman" w:hAnsi="Times New Roman"/>
          <w:sz w:val="24"/>
        </w:rPr>
        <w:t xml:space="preserve">times a fixed daily shape, amplified over one six-day cold snap in mid-January; onshore</w:t>
      </w:r>
      <w:r>
        <w:rPr>
          <w:rFonts w:ascii="Times New Roman" w:hAnsi="Times New Roman"/>
          <w:sz w:val="24"/>
        </w:rPr>
        <w:t xml:space="preserve"> </w:t>
      </w:r>
      <w:r>
        <w:rPr>
          <w:rFonts w:ascii="Times New Roman" w:hAnsi="Times New Roman"/>
          <w:sz w:val="24"/>
        </w:rPr>
        <w:t xml:space="preserve">wind is an AR(1) process forced down to a lull over those same six days in all 29</w:t>
      </w:r>
      <w:r>
        <w:rPr>
          <w:rFonts w:ascii="Times New Roman" w:hAnsi="Times New Roman"/>
          <w:sz w:val="24"/>
        </w:rPr>
        <w:t xml:space="preserve"> </w:t>
      </w:r>
      <w:r>
        <w:rPr>
          <w:rFonts w:ascii="Times New Roman" w:hAnsi="Times New Roman"/>
          <w:sz w:val="24"/>
        </w:rPr>
        <w:t xml:space="preserve">countries at once; solar and the non-heat baseline load are deterministic. That</w:t>
      </w:r>
      <w:r>
        <w:rPr>
          <w:rFonts w:ascii="Times New Roman" w:hAnsi="Times New Roman"/>
          <w:sz w:val="24"/>
        </w:rPr>
        <w:t xml:space="preserve"> </w:t>
      </w:r>
      <w:r>
        <w:rPr>
          <w:rFonts w:ascii="Times New Roman" w:hAnsi="Times New Roman"/>
          <w:sz w:val="24"/>
        </w:rPr>
        <w:t xml:space="preserve">construction makes the event perfectly correlated across the study area, and the sizing</w:t>
      </w:r>
      <w:r>
        <w:rPr>
          <w:rFonts w:ascii="Times New Roman" w:hAnsi="Times New Roman"/>
          <w:sz w:val="24"/>
        </w:rPr>
        <w:t xml:space="preserve"> </w:t>
      </w:r>
      <w:r>
        <w:rPr>
          <w:rFonts w:ascii="Times New Roman" w:hAnsi="Times New Roman"/>
          <w:sz w:val="24"/>
        </w:rPr>
        <w:t xml:space="preserve">rule, which takes the fourth-highest residual hour of the year and so admits three hours</w:t>
      </w:r>
      <w:r>
        <w:rPr>
          <w:rFonts w:ascii="Times New Roman" w:hAnsi="Times New Roman"/>
          <w:sz w:val="24"/>
        </w:rPr>
        <w:t xml:space="preserve"> </w:t>
      </w:r>
      <w:r>
        <w:rPr>
          <w:rFonts w:ascii="Times New Roman" w:hAnsi="Times New Roman"/>
          <w:sz w:val="24"/>
        </w:rPr>
        <w:t xml:space="preserve">of lost load, is an order statistic on that one year rather than a loss-of-load</w:t>
      </w:r>
      <w:r>
        <w:rPr>
          <w:rFonts w:ascii="Times New Roman" w:hAnsi="Times New Roman"/>
          <w:sz w:val="24"/>
        </w:rPr>
        <w:t xml:space="preserve"> </w:t>
      </w:r>
      <w:r>
        <w:rPr>
          <w:rFonts w:ascii="Times New Roman" w:hAnsi="Times New Roman"/>
          <w:sz w:val="24"/>
        </w:rPr>
        <w:t xml:space="preserve">expectation over a distribution of weather years.</w:t>
      </w:r>
    </w:p>
    <w:p>
      <w:pPr>
        <w:pStyle w:val="BodyText"/>
      </w:pPr>
      <w:r>
        <w:rPr>
          <w:rFonts w:ascii="Times New Roman" w:hAnsi="Times New Roman"/>
          <w:sz w:val="24"/>
        </w:rPr>
        <w:t xml:space="preserve">The firm-fleet requirement varies by about</w:t>
      </w:r>
      <w:r>
        <w:rPr>
          <w:rFonts w:ascii="Times New Roman" w:hAnsi="Times New Roman"/>
          <w:sz w:val="24"/>
        </w:rPr>
        <w:t xml:space="preserve"> </w:t>
      </w:r>
      <w:r>
        <w:t xml:space="preserve">±</w:t>
      </w:r>
      <w:r>
        <w:rPr>
          <w:rFonts w:ascii="Times New Roman" w:hAnsi="Times New Roman"/>
          <w:sz w:val="24"/>
        </w:rPr>
        <w:t xml:space="preserve">9 per cent with the assumed event length.</w:t>
      </w:r>
      <w:r>
        <w:rPr>
          <w:rFonts w:ascii="Times New Roman" w:hAnsi="Times New Roman"/>
          <w:sz w:val="24"/>
        </w:rPr>
        <w:t xml:space="preserve"> </w:t>
      </w:r>
      <w:r>
        <w:rPr>
          <w:rFonts w:ascii="Times New Roman" w:hAnsi="Times New Roman"/>
          <w:sz w:val="24"/>
        </w:rPr>
        <w:t xml:space="preserve">The resulting capacity requirement, full-load hours and cumulative shortfall are</w:t>
      </w:r>
      <w:r>
        <w:rPr>
          <w:rFonts w:ascii="Times New Roman" w:hAnsi="Times New Roman"/>
          <w:sz w:val="24"/>
        </w:rPr>
        <w:t xml:space="preserve"> </w:t>
      </w:r>
      <w:r>
        <w:rPr>
          <w:rFonts w:ascii="Times New Roman" w:hAnsi="Times New Roman"/>
          <w:sz w:val="24"/>
        </w:rPr>
        <w:t xml:space="preserve">conditional on the constructed weather year and should not be interpreted as adequacy</w:t>
      </w:r>
      <w:r>
        <w:rPr>
          <w:rFonts w:ascii="Times New Roman" w:hAnsi="Times New Roman"/>
          <w:sz w:val="24"/>
        </w:rPr>
        <w:t xml:space="preserve"> </w:t>
      </w:r>
      <w:r>
        <w:rPr>
          <w:rFonts w:ascii="Times New Roman" w:hAnsi="Times New Roman"/>
          <w:sz w:val="24"/>
        </w:rPr>
        <w:t xml:space="preserve">estimates.</w:t>
      </w:r>
    </w:p>
    <w:p>
      <w:pPr>
        <w:pStyle w:val="BodyText"/>
      </w:pPr>
      <w:r>
        <w:rPr>
          <w:rFonts w:ascii="Times New Roman" w:hAnsi="Times New Roman"/>
          <w:sz w:val="24"/>
        </w:rPr>
        <w:t xml:space="preserve">Three extensions strengthen the power-sector coupling. An explicit unit commitment</w:t>
      </w:r>
      <w:r>
        <w:rPr>
          <w:rFonts w:ascii="Times New Roman" w:hAnsi="Times New Roman"/>
          <w:sz w:val="24"/>
        </w:rPr>
        <w:t xml:space="preserve"> </w:t>
      </w:r>
      <w:r>
        <w:rPr>
          <w:rFonts w:ascii="Times New Roman" w:hAnsi="Times New Roman"/>
          <w:sz w:val="24"/>
        </w:rPr>
        <w:t xml:space="preserve">cross-checks the reduced-form peak-capacity cap, respecting minimum stable output, ramp</w:t>
      </w:r>
      <w:r>
        <w:rPr>
          <w:rFonts w:ascii="Times New Roman" w:hAnsi="Times New Roman"/>
          <w:sz w:val="24"/>
        </w:rPr>
        <w:t xml:space="preserve"> </w:t>
      </w:r>
      <w:r>
        <w:rPr>
          <w:rFonts w:ascii="Times New Roman" w:hAnsi="Times New Roman"/>
          <w:sz w:val="24"/>
        </w:rPr>
        <w:t xml:space="preserve">limits, minimum up and down times and an operating-reserve margin; a myopic</w:t>
      </w:r>
      <w:r>
        <w:rPr>
          <w:rFonts w:ascii="Times New Roman" w:hAnsi="Times New Roman"/>
          <w:sz w:val="24"/>
        </w:rPr>
        <w:t xml:space="preserve"> </w:t>
      </w:r>
      <w:r>
        <w:rPr>
          <w:rFonts w:ascii="Times New Roman" w:hAnsi="Times New Roman"/>
          <w:sz w:val="24"/>
        </w:rPr>
        <w:t xml:space="preserve">rolling-horizon test relaxes perfect foresight in the least-cost linear program; and an</w:t>
      </w:r>
      <w:r>
        <w:rPr>
          <w:rFonts w:ascii="Times New Roman" w:hAnsi="Times New Roman"/>
          <w:sz w:val="24"/>
        </w:rPr>
        <w:t xml:space="preserve"> </w:t>
      </w:r>
      <w:r>
        <w:rPr>
          <w:rFonts w:ascii="Times New Roman" w:hAnsi="Times New Roman"/>
          <w:sz w:val="24"/>
        </w:rPr>
        <w:t xml:space="preserve">endogenous Switzerland treatment couples incremental Swiss heat-pump load back to the EU</w:t>
      </w:r>
      <w:r>
        <w:rPr>
          <w:rFonts w:ascii="Times New Roman" w:hAnsi="Times New Roman"/>
          <w:sz w:val="24"/>
        </w:rPr>
        <w:t xml:space="preserve"> </w:t>
      </w:r>
      <w:r>
        <w:rPr>
          <w:rFonts w:ascii="Times New Roman" w:hAnsi="Times New Roman"/>
          <w:sz w:val="24"/>
        </w:rPr>
        <w:t xml:space="preserve">winter electricity price and credits the Swiss reservoir fleet as firm winter capacity.</w:t>
      </w:r>
      <w:r>
        <w:rPr>
          <w:rFonts w:ascii="Times New Roman" w:hAnsi="Times New Roman"/>
          <w:sz w:val="24"/>
        </w:rPr>
        <w:t xml:space="preserve"> </w:t>
      </w:r>
      <w:r>
        <w:rPr>
          <w:rFonts w:ascii="Times New Roman" w:hAnsi="Times New Roman"/>
          <w:sz w:val="24"/>
        </w:rPr>
        <w:t xml:space="preserve">Parametric uncertainty is characterised with 200 draws per scenario. Each draw samples country renovation-rate shocks; 2050 heat-pump, district-heat, hydrogen and fossil targets; uptake exponents; ground-source heat-pump share; ETS2 pass-through; WACC; heat-pump-feasibility multipliers; and correlated country-carrier fuel-price multipliers. Cross-country shock correlation is 0.5 on renovation and 0.75 on fuel prices, higher on prices because European gas and electricity markets clear against shared hubs whereas renovation policy is national. Results are reported at the 10th, 50th and 90th percentiles. Carbon-price, hydrogen-price and grid-decarbonisation paths remain fixed within each scenario and are evaluated as deterministic axes; equipment CAPEX and performance are varied in deterministic sweeps. A variance-based Sobol screen ranks the four demand drivers, and a regression-based global screen using standardised rank-regression coefficients ranks the cost-side ones. Each extension’s formulation, the sampling distributions and the</w:t>
      </w:r>
      <w:r>
        <w:rPr>
          <w:rFonts w:ascii="Times New Roman" w:hAnsi="Times New Roman"/>
          <w:sz w:val="24"/>
        </w:rPr>
        <w:t xml:space="preserve"> </w:t>
      </w:r>
      <w:r>
        <w:rPr>
          <w:rFonts w:ascii="Times New Roman" w:hAnsi="Times New Roman"/>
          <w:sz w:val="24"/>
        </w:rPr>
        <w:t xml:space="preserve">validation gates are in the Supplementary Information.</w:t>
      </w:r>
    </w:p>
    <w:p>
      <w:pPr>
        <w:pStyle w:val="BodyText"/>
      </w:pPr>
      <w:r>
        <w:rPr>
          <w:rFonts w:ascii="Times New Roman" w:hAnsi="Times New Roman"/>
          <w:sz w:val="24"/>
        </w:rPr>
        <w:t xml:space="preserve">The model, the scenario configurations and the analysis code are released in a public</w:t>
      </w:r>
      <w:r>
        <w:rPr>
          <w:rFonts w:ascii="Times New Roman" w:hAnsi="Times New Roman"/>
          <w:sz w:val="24"/>
        </w:rPr>
        <w:t xml:space="preserve"> </w:t>
      </w:r>
      <w:r>
        <w:rPr>
          <w:rFonts w:ascii="Times New Roman" w:hAnsi="Times New Roman"/>
          <w:sz w:val="24"/>
        </w:rPr>
        <w:t xml:space="preserve">repository under an MIT licence, with retrieval scripts for the source datasets, so</w:t>
      </w:r>
      <w:r>
        <w:rPr>
          <w:rFonts w:ascii="Times New Roman" w:hAnsi="Times New Roman"/>
          <w:sz w:val="24"/>
        </w:rPr>
        <w:t xml:space="preserve"> </w:t>
      </w:r>
      <w:r>
        <w:rPr>
          <w:rFonts w:ascii="Times New Roman" w:hAnsi="Times New Roman"/>
          <w:sz w:val="24"/>
        </w:rPr>
        <w:t xml:space="preserve">every test reported below reproduces from the committed intermediate data; rebuilding</w:t>
      </w:r>
      <w:r>
        <w:rPr>
          <w:rFonts w:ascii="Times New Roman" w:hAnsi="Times New Roman"/>
          <w:sz w:val="24"/>
        </w:rPr>
        <w:t xml:space="preserve"> </w:t>
      </w:r>
      <w:r>
        <w:rPr>
          <w:rFonts w:ascii="Times New Roman" w:hAnsi="Times New Roman"/>
          <w:sz w:val="24"/>
        </w:rPr>
        <w:t xml:space="preserve">the regional demand layer from raw building footprints additionally requires the object</w:t>
      </w:r>
      <w:r>
        <w:rPr>
          <w:rFonts w:ascii="Times New Roman" w:hAnsi="Times New Roman"/>
          <w:sz w:val="24"/>
        </w:rPr>
        <w:t xml:space="preserve"> </w:t>
      </w:r>
      <w:r>
        <w:rPr>
          <w:rFonts w:ascii="Times New Roman" w:hAnsi="Times New Roman"/>
          <w:sz w:val="24"/>
        </w:rPr>
        <w:t xml:space="preserve">store named in the data-availability statement.</w:t>
      </w:r>
    </w:p>
    <w:bookmarkEnd w:id="20"/>
    <w:bookmarkEnd w:id="21"/>
    <w:bookmarkStart w:id="49" w:name="sec:results"/>
    <w:p>
      <w:pPr>
        <w:pStyle w:val="Heading1"/>
      </w:pPr>
      <w:r>
        <w:rPr>
          <w:rStyle w:val="SectionNumber"/>
          <w:rFonts w:ascii="Times New Roman" w:hAnsi="Times New Roman"/>
          <w:sz w:val="24"/>
        </w:rPr>
        <w:t xml:space="preserve">3</w:t>
      </w:r>
      <w:r>
        <w:rPr>
          <w:rFonts w:ascii="Times New Roman" w:hAnsi="Times New Roman"/>
          <w:sz w:val="24"/>
        </w:rPr>
        <w:tab/>
      </w:r>
      <w:r>
        <w:rPr>
          <w:rFonts w:ascii="Times New Roman" w:hAnsi="Times New Roman"/>
          <w:sz w:val="24"/>
        </w:rPr>
        <w:t xml:space="preserve">Results and discussion</w:t>
      </w:r>
    </w:p>
    <w:p>
      <w:pPr>
        <w:pStyle w:val="FirstParagraph"/>
      </w:pPr>
      <w:r>
        <w:rPr>
          <w:rFonts w:ascii="Times New Roman" w:hAnsi="Times New Roman"/>
          <w:sz w:val="24"/>
        </w:rPr>
        <w:t xml:space="preserve">Three tests organise what follows, applied in order and addressing distinct operating roles, so a peaking win does not overturn a base-load loss. They are annual levelised cost against the heat</w:t>
      </w:r>
      <w:r>
        <w:rPr>
          <w:rFonts w:ascii="Times New Roman" w:hAnsi="Times New Roman"/>
          <w:sz w:val="24"/>
        </w:rPr>
        <w:t xml:space="preserve"> </w:t>
      </w:r>
      <w:r>
        <w:rPr>
          <w:rFonts w:ascii="Times New Roman" w:hAnsi="Times New Roman"/>
          <w:sz w:val="24"/>
        </w:rPr>
        <w:t xml:space="preserve">pump and the gas boiler, where the headline count sits, then the peak hour on operating</w:t>
      </w:r>
      <w:r>
        <w:rPr>
          <w:rFonts w:ascii="Times New Roman" w:hAnsi="Times New Roman"/>
          <w:sz w:val="24"/>
        </w:rPr>
        <w:t xml:space="preserve"> </w:t>
      </w:r>
      <w:r>
        <w:rPr>
          <w:rFonts w:ascii="Times New Roman" w:hAnsi="Times New Roman"/>
          <w:sz w:val="24"/>
        </w:rPr>
        <w:t xml:space="preserve">cost across three arenas, then whether a plant that wins the peak can be financed.</w:t>
      </w:r>
      <w:r>
        <w:rPr>
          <w:rFonts w:ascii="Times New Roman" w:hAnsi="Times New Roman"/>
          <w:sz w:val="24"/>
        </w:rPr>
        <w:t xml:space="preserve"> </w:t>
      </w:r>
      <w:r>
        <w:rPr>
          <w:rFonts w:ascii="Times New Roman" w:hAnsi="Times New Roman"/>
          <w:sz w:val="24"/>
        </w:rPr>
        <w:t xml:space="preserve">Section 3.1 reports the demand, technology-mix and emissions results</w:t>
      </w:r>
      <w:r>
        <w:rPr>
          <w:rFonts w:ascii="Times New Roman" w:hAnsi="Times New Roman"/>
          <w:sz w:val="24"/>
        </w:rPr>
        <w:t xml:space="preserve"> </w:t>
      </w:r>
      <w:r>
        <w:rPr>
          <w:rFonts w:ascii="Times New Roman" w:hAnsi="Times New Roman"/>
          <w:sz w:val="24"/>
        </w:rPr>
        <w:t xml:space="preserve">used by the subsequent tests. Sections 3.5</w:t>
      </w:r>
      <w:r>
        <w:rPr>
          <w:rFonts w:ascii="Times New Roman" w:hAnsi="Times New Roman"/>
          <w:sz w:val="24"/>
        </w:rPr>
        <w:t xml:space="preserve"> </w:t>
      </w:r>
      <w:r>
        <w:rPr>
          <w:rFonts w:ascii="Times New Roman" w:hAnsi="Times New Roman"/>
          <w:sz w:val="24"/>
        </w:rPr>
        <w:t xml:space="preserve">and 3.6 provide the least-cost and Switzerland cross-checks.</w:t>
      </w:r>
      <w:r>
        <w:rPr>
          <w:rFonts w:ascii="Times New Roman" w:hAnsi="Times New Roman"/>
          <w:sz w:val="24"/>
        </w:rPr>
        <w:t xml:space="preserve"> </w:t>
      </w:r>
      <w:r>
        <w:rPr>
          <w:rFonts w:ascii="Times New Roman" w:hAnsi="Times New Roman"/>
          <w:sz w:val="24"/>
        </w:rPr>
        <w:t xml:space="preserve">Monte Carlo results for demand, technology mix and emissions are reported as medians with</w:t>
      </w:r>
      <w:r>
        <w:rPr>
          <w:rFonts w:ascii="Times New Roman" w:hAnsi="Times New Roman"/>
          <w:sz w:val="24"/>
        </w:rPr>
        <w:t xml:space="preserve"> </w:t>
      </w:r>
      <w:r>
        <w:rPr>
          <w:rFonts w:ascii="Times New Roman" w:hAnsi="Times New Roman"/>
          <w:sz w:val="24"/>
        </w:rPr>
        <w:t xml:space="preserve">percentile bands. The cost, dispatch and capital-recovery tests use central parameters</w:t>
      </w:r>
      <w:r>
        <w:rPr>
          <w:rFonts w:ascii="Times New Roman" w:hAnsi="Times New Roman"/>
          <w:sz w:val="24"/>
        </w:rPr>
        <w:t xml:space="preserve"> </w:t>
      </w:r>
      <w:r>
        <w:rPr>
          <w:rFonts w:ascii="Times New Roman" w:hAnsi="Times New Roman"/>
          <w:sz w:val="24"/>
        </w:rPr>
        <w:t xml:space="preserve">with their governing prices and charges evaluated in deterministic sweeps.</w:t>
      </w:r>
      <w:r>
        <w:rPr>
          <w:rFonts w:ascii="Times New Roman" w:hAnsi="Times New Roman"/>
          <w:sz w:val="24"/>
        </w:rPr>
        <w:t xml:space="preserve"> </w:t>
      </w:r>
      <w:r>
        <w:rPr>
          <w:rFonts w:ascii="Times New Roman" w:hAnsi="Times New Roman"/>
          <w:sz w:val="24"/>
        </w:rPr>
        <w:t xml:space="preserve">Running medians enter and remain within</w:t>
      </w:r>
      <w:r>
        <w:rPr>
          <w:rFonts w:ascii="Times New Roman" w:hAnsi="Times New Roman"/>
          <w:sz w:val="24"/>
        </w:rPr>
        <w:t xml:space="preserve"> </w:t>
      </w:r>
      <w:r>
        <w:t xml:space="preserve">±1</w:t>
      </w:r>
      <w:r>
        <w:rPr>
          <w:rFonts w:ascii="Times New Roman" w:hAnsi="Times New Roman"/>
          <w:sz w:val="24"/>
        </w:rPr>
        <w:t xml:space="preserve"> per cent by draw 139, whereas the deciles</w:t>
      </w:r>
      <w:r>
        <w:rPr>
          <w:rFonts w:ascii="Times New Roman" w:hAnsi="Times New Roman"/>
          <w:sz w:val="24"/>
        </w:rPr>
        <w:t xml:space="preserve"> </w:t>
      </w:r>
      <w:r>
        <w:rPr>
          <w:rFonts w:ascii="Times New Roman" w:hAnsi="Times New Roman"/>
          <w:sz w:val="24"/>
        </w:rPr>
        <w:t xml:space="preserve">do so only by draw 188. Medians are therefore treated as converged and deciles as</w:t>
      </w:r>
      <w:r>
        <w:rPr>
          <w:rFonts w:ascii="Times New Roman" w:hAnsi="Times New Roman"/>
          <w:sz w:val="24"/>
        </w:rPr>
        <w:t xml:space="preserve"> </w:t>
      </w:r>
      <w:r>
        <w:rPr>
          <w:rFonts w:ascii="Times New Roman" w:hAnsi="Times New Roman"/>
          <w:sz w:val="24"/>
        </w:rPr>
        <w:t xml:space="preserve">indicative.</w:t>
      </w:r>
    </w:p>
    <w:bookmarkStart w:id="26" w:name="sec:results:mix"/>
    <w:p>
      <w:pPr>
        <w:pStyle w:val="Heading2"/>
      </w:pPr>
      <w:r>
        <w:rPr>
          <w:rStyle w:val="SectionNumber"/>
          <w:rFonts w:ascii="Times New Roman" w:hAnsi="Times New Roman"/>
          <w:sz w:val="24"/>
        </w:rPr>
        <w:t xml:space="preserve">3.1</w:t>
      </w:r>
      <w:r>
        <w:rPr>
          <w:rFonts w:ascii="Times New Roman" w:hAnsi="Times New Roman"/>
          <w:sz w:val="24"/>
        </w:rPr>
        <w:tab/>
      </w:r>
      <w:r>
        <w:rPr>
          <w:rFonts w:ascii="Times New Roman" w:hAnsi="Times New Roman"/>
          <w:sz w:val="24"/>
        </w:rPr>
        <w:t xml:space="preserve">Heat demand, technology mix and emissions</w:t>
      </w:r>
    </w:p>
    <w:p>
      <w:pPr>
        <w:pStyle w:val="FirstParagraph"/>
      </w:pP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 presents useful residential heat demand across the NUTS3 regions of the study area at 2025. Useful-heat demand falls only slightly to 2050, because</w:t>
      </w:r>
      <w:r>
        <w:rPr>
          <w:rFonts w:ascii="Times New Roman" w:hAnsi="Times New Roman"/>
          <w:sz w:val="24"/>
        </w:rPr>
        <w:t xml:space="preserve"> </w:t>
      </w:r>
      <w:r>
        <w:rPr>
          <w:rFonts w:ascii="Times New Roman" w:hAnsi="Times New Roman"/>
          <w:sz w:val="24"/>
        </w:rPr>
        <w:t xml:space="preserve">envelope renovation outpaces the growth of the building stock by a narrow margin. We estimate the 2025 base</w:t>
      </w:r>
      <w:r>
        <w:rPr>
          <w:rFonts w:ascii="Times New Roman" w:hAnsi="Times New Roman"/>
          <w:sz w:val="24"/>
        </w:rPr>
        <w:t xml:space="preserve"> </w:t>
      </w:r>
      <w:r>
        <w:rPr>
          <w:rFonts w:ascii="Times New Roman" w:hAnsi="Times New Roman"/>
          <w:sz w:val="24"/>
        </w:rPr>
        <w:t xml:space="preserve">year at about 3</w:t>
      </w:r>
      <w:r>
        <w:rPr>
          <w:rFonts w:ascii="Times New Roman" w:hAnsi="Times New Roman"/>
          <w:sz w:val="24"/>
        </w:rPr>
        <w:t xml:space="preserve">,</w:t>
      </w:r>
      <w:r>
        <w:rPr>
          <w:rFonts w:ascii="Times New Roman" w:hAnsi="Times New Roman"/>
          <w:sz w:val="24"/>
        </w:rPr>
        <w:t xml:space="preserve">827 TWh, a bottom-up reconstruction reproducing the Hotmaps 2015</w:t>
      </w:r>
      <w:r>
        <w:rPr>
          <w:rFonts w:ascii="Times New Roman" w:hAnsi="Times New Roman"/>
          <w:sz w:val="24"/>
        </w:rPr>
        <w:t xml:space="preserve"> </w:t>
      </w:r>
      <w:r>
        <w:rPr>
          <w:rFonts w:ascii="Times New Roman" w:hAnsi="Times New Roman"/>
          <w:sz w:val="24"/>
        </w:rPr>
        <w:t xml:space="preserve">regional total to within about 0.8 per cent in aggregate (Section 2). Across the 29 countries, the mean absolute percentage error is</w:t>
      </w:r>
      <w:r>
        <w:rPr>
          <w:rFonts w:ascii="Times New Roman" w:hAnsi="Times New Roman"/>
          <w:sz w:val="24"/>
        </w:rPr>
        <w:t xml:space="preserve"> </w:t>
      </w:r>
      <w:r>
        <w:t xml:space="preserve">11.6</w:t>
      </w:r>
      <w:r>
        <w:rPr>
          <w:rFonts w:ascii="Times New Roman" w:hAnsi="Times New Roman"/>
          <w:sz w:val="24"/>
        </w:rPr>
        <w:t xml:space="preserve"> per cent, the demand-weighted mean absolute percentage error is</w:t>
      </w:r>
      <w:r>
        <w:rPr>
          <w:rFonts w:ascii="Times New Roman" w:hAnsi="Times New Roman"/>
          <w:sz w:val="24"/>
        </w:rPr>
        <w:t xml:space="preserve"> </w:t>
      </w:r>
      <w:r>
        <w:t xml:space="preserve">9.8</w:t>
      </w:r>
      <w:r>
        <w:rPr>
          <w:rFonts w:ascii="Times New Roman" w:hAnsi="Times New Roman"/>
          <w:sz w:val="24"/>
        </w:rPr>
        <w:t xml:space="preserve"> per cent, the root-mean-square error of the percentage deviations is</w:t>
      </w:r>
      <w:r>
        <w:rPr>
          <w:rFonts w:ascii="Times New Roman" w:hAnsi="Times New Roman"/>
          <w:sz w:val="24"/>
        </w:rPr>
        <w:t xml:space="preserve"> </w:t>
      </w:r>
      <w:r>
        <w:t xml:space="preserve">14.4</w:t>
      </w:r>
      <w:r>
        <w:rPr>
          <w:rFonts w:ascii="Times New Roman" w:hAnsi="Times New Roman"/>
          <w:sz w:val="24"/>
        </w:rPr>
        <w:t xml:space="preserve"> </w:t>
      </w:r>
      <w:r>
        <w:rPr>
          <w:rFonts w:ascii="Times New Roman" w:hAnsi="Times New Roman"/>
          <w:sz w:val="24"/>
        </w:rPr>
        <w:t xml:space="preserve">percentage points, and the median absolute percentage error is</w:t>
      </w:r>
      <w:r>
        <w:rPr>
          <w:rFonts w:ascii="Times New Roman" w:hAnsi="Times New Roman"/>
          <w:sz w:val="24"/>
        </w:rPr>
        <w:t xml:space="preserve"> </w:t>
      </w:r>
      <w:r>
        <w:t xml:space="preserve">8.5</w:t>
      </w:r>
      <w:r>
        <w:rPr>
          <w:rFonts w:ascii="Times New Roman" w:hAnsi="Times New Roman"/>
          <w:sz w:val="24"/>
        </w:rPr>
        <w:t xml:space="preserve"> per cent. Backcasting to the benchmark’s 2015 vintage produces an aggregate deviation of</w:t>
      </w:r>
      <w:r>
        <w:rPr>
          <w:rFonts w:ascii="Times New Roman" w:hAnsi="Times New Roman"/>
          <w:sz w:val="24"/>
        </w:rPr>
        <w:t xml:space="preserve"> </w:t>
      </w:r>
      <w:r>
        <w:t xml:space="preserve">−8.3</w:t>
      </w:r>
      <w:r>
        <w:rPr>
          <w:rFonts w:ascii="Times New Roman" w:hAnsi="Times New Roman"/>
          <w:sz w:val="24"/>
        </w:rPr>
        <w:t xml:space="preserve"> per cent. That layer sets the demand field and the weights every later statistic carries, and subsequent economic parameters are applied at country level, so the model does not resolve subnational cost rankings.</w:t>
      </w:r>
    </w:p>
    <w:p>
      <w:pPr>
        <w:pStyle w:val="BodyText"/>
      </w:pPr>
      <w:r>
        <w:rPr>
          <w:rFonts w:ascii="Times New Roman" w:hAnsi="Times New Roman"/>
          <w:sz w:val="24"/>
        </w:rPr>
        <w:t xml:space="preserve">Under Stated Policies median demand declines to 3</w:t>
      </w:r>
      <w:r>
        <w:rPr>
          <w:rFonts w:ascii="Times New Roman" w:hAnsi="Times New Roman"/>
          <w:sz w:val="24"/>
        </w:rPr>
        <w:t xml:space="preserve">,</w:t>
      </w:r>
      <w:r>
        <w:rPr>
          <w:rFonts w:ascii="Times New Roman" w:hAnsi="Times New Roman"/>
          <w:sz w:val="24"/>
        </w:rPr>
        <w:t xml:space="preserve">483 TWh by 2050, a fall of about</w:t>
      </w:r>
      <w:r>
        <w:rPr>
          <w:rFonts w:ascii="Times New Roman" w:hAnsi="Times New Roman"/>
          <w:sz w:val="24"/>
        </w:rPr>
        <w:t xml:space="preserve"> </w:t>
      </w:r>
      <w:r>
        <w:rPr>
          <w:rFonts w:ascii="Times New Roman" w:hAnsi="Times New Roman"/>
          <w:sz w:val="24"/>
        </w:rPr>
        <w:t xml:space="preserve">9 per cent, with an 80 per cent Monte Carlo interval of 3</w:t>
      </w:r>
      <w:r>
        <w:rPr>
          <w:rFonts w:ascii="Times New Roman" w:hAnsi="Times New Roman"/>
          <w:sz w:val="24"/>
        </w:rPr>
        <w:t xml:space="preserve">,</w:t>
      </w:r>
      <w:r>
        <w:rPr>
          <w:rFonts w:ascii="Times New Roman" w:hAnsi="Times New Roman"/>
          <w:sz w:val="24"/>
        </w:rPr>
        <w:t xml:space="preserve">367–3</w:t>
      </w:r>
      <w:r>
        <w:rPr>
          <w:rFonts w:ascii="Times New Roman" w:hAnsi="Times New Roman"/>
          <w:sz w:val="24"/>
        </w:rPr>
        <w:t xml:space="preserve">,</w:t>
      </w:r>
      <w:r>
        <w:rPr>
          <w:rFonts w:ascii="Times New Roman" w:hAnsi="Times New Roman"/>
          <w:sz w:val="24"/>
        </w:rPr>
        <w:t xml:space="preserve">589 TWh. The four</w:t>
      </w:r>
      <w:r>
        <w:rPr>
          <w:rFonts w:ascii="Times New Roman" w:hAnsi="Times New Roman"/>
          <w:sz w:val="24"/>
        </w:rPr>
        <w:t xml:space="preserve"> </w:t>
      </w:r>
      <w:r>
        <w:rPr>
          <w:rFonts w:ascii="Times New Roman" w:hAnsi="Times New Roman"/>
          <w:sz w:val="24"/>
        </w:rPr>
        <w:t xml:space="preserve">scenarios span a 5 per cent fall under Current Policies (3</w:t>
      </w:r>
      <w:r>
        <w:rPr>
          <w:rFonts w:ascii="Times New Roman" w:hAnsi="Times New Roman"/>
          <w:sz w:val="24"/>
        </w:rPr>
        <w:t xml:space="preserve">,</w:t>
      </w:r>
      <w:r>
        <w:rPr>
          <w:rFonts w:ascii="Times New Roman" w:hAnsi="Times New Roman"/>
          <w:sz w:val="24"/>
        </w:rPr>
        <w:t xml:space="preserve">651 TWh) to 31 per cent</w:t>
      </w:r>
      <w:r>
        <w:rPr>
          <w:rFonts w:ascii="Times New Roman" w:hAnsi="Times New Roman"/>
          <w:sz w:val="24"/>
        </w:rPr>
        <w:t xml:space="preserve"> </w:t>
      </w:r>
      <w:r>
        <w:rPr>
          <w:rFonts w:ascii="Times New Roman" w:hAnsi="Times New Roman"/>
          <w:sz w:val="24"/>
        </w:rPr>
        <w:t xml:space="preserve">under Net Zero (2</w:t>
      </w:r>
      <w:r>
        <w:rPr>
          <w:rFonts w:ascii="Times New Roman" w:hAnsi="Times New Roman"/>
          <w:sz w:val="24"/>
        </w:rPr>
        <w:t xml:space="preserve">,</w:t>
      </w:r>
      <w:r>
        <w:rPr>
          <w:rFonts w:ascii="Times New Roman" w:hAnsi="Times New Roman"/>
          <w:sz w:val="24"/>
        </w:rPr>
        <w:t xml:space="preserve">660 TWh), and only the deep-renovation pathway reaches the IEA range</w:t>
      </w:r>
      <w:r>
        <w:rPr>
          <w:rFonts w:ascii="Times New Roman" w:hAnsi="Times New Roman"/>
          <w:sz w:val="24"/>
        </w:rPr>
        <w:t xml:space="preserve"> </w:t>
      </w:r>
      <w:r>
        <w:rPr>
          <w:rFonts w:ascii="Times New Roman" w:hAnsi="Times New Roman"/>
          <w:sz w:val="24"/>
        </w:rPr>
        <w:t xml:space="preserve">of a 30–55 per cent reduction</w:t>
      </w:r>
      <w:r>
        <w:rPr>
          <w:rFonts w:ascii="Times New Roman" w:hAnsi="Times New Roman"/>
          <w:sz w:val="24"/>
        </w:rPr>
        <w:t xml:space="preserve"> </w:t>
      </w:r>
      <w:r>
        <w:rPr>
          <w:rFonts w:ascii="Times New Roman" w:hAnsi="Times New Roman"/>
          <w:sz w:val="24"/>
        </w:rPr>
        <w:t xml:space="preserve">[58]</w:t>
      </w:r>
      <w:r>
        <w:rPr>
          <w:rFonts w:ascii="Times New Roman" w:hAnsi="Times New Roman"/>
          <w:sz w:val="24"/>
        </w:rPr>
        <w:t xml:space="preserve">. Demand is held at the 1991–2020 climate normal</w:t>
      </w:r>
      <w:r>
        <w:rPr>
          <w:rFonts w:ascii="Times New Roman" w:hAnsi="Times New Roman"/>
          <w:sz w:val="24"/>
        </w:rPr>
        <w:t xml:space="preserve"> </w:t>
      </w:r>
      <w:r>
        <w:rPr>
          <w:rFonts w:ascii="Times New Roman" w:hAnsi="Times New Roman"/>
          <w:sz w:val="24"/>
        </w:rPr>
        <w:t xml:space="preserve">throughout, and overlaying the projected decline in heating degree days deepens the 2050</w:t>
      </w:r>
      <w:r>
        <w:rPr>
          <w:rFonts w:ascii="Times New Roman" w:hAnsi="Times New Roman"/>
          <w:sz w:val="24"/>
        </w:rPr>
        <w:t xml:space="preserve"> </w:t>
      </w:r>
      <w:r>
        <w:rPr>
          <w:rFonts w:ascii="Times New Roman" w:hAnsi="Times New Roman"/>
          <w:sz w:val="24"/>
        </w:rPr>
        <w:t xml:space="preserve">Stated Policies fall to 13, 15 or 19 per cent on a low, RCP4.5 or RCP8.5 representative concentration pathway, so</w:t>
      </w:r>
      <w:r>
        <w:rPr>
          <w:rFonts w:ascii="Times New Roman" w:hAnsi="Times New Roman"/>
          <w:sz w:val="24"/>
        </w:rPr>
        <w:t xml:space="preserve"> </w:t>
      </w:r>
      <w:r>
        <w:rPr>
          <w:rFonts w:ascii="Times New Roman" w:hAnsi="Times New Roman"/>
          <w:sz w:val="24"/>
        </w:rPr>
        <w:t xml:space="preserve">the frozen-climate path is conservative.</w:t>
      </w:r>
    </w:p>
    <w:p>
      <w:pPr>
        <w:pStyle w:val="BodyText"/>
      </w:pPr>
      <w:r>
        <w:rPr>
          <w:rFonts w:ascii="Times New Roman" w:hAnsi="Times New Roman"/>
          <w:sz w:val="24"/>
        </w:rPr>
        <w:t xml:space="preserve">The scenario lever moves the technology mix; stock variation does not. All four start</w:t>
      </w:r>
      <w:r>
        <w:rPr>
          <w:rFonts w:ascii="Times New Roman" w:hAnsi="Times New Roman"/>
          <w:sz w:val="24"/>
        </w:rPr>
        <w:t xml:space="preserve"> </w:t>
      </w:r>
      <w:r>
        <w:rPr>
          <w:rFonts w:ascii="Times New Roman" w:hAnsi="Times New Roman"/>
          <w:sz w:val="24"/>
        </w:rPr>
        <w:t xml:space="preserve">from the same reconstructed 2025 composition, heat pumps at 8 per cent of useful heat,</w:t>
      </w:r>
      <w:r>
        <w:rPr>
          <w:rFonts w:ascii="Times New Roman" w:hAnsi="Times New Roman"/>
          <w:sz w:val="24"/>
        </w:rPr>
        <w:t xml:space="preserve"> </w:t>
      </w:r>
      <w:r>
        <w:rPr>
          <w:rFonts w:ascii="Times New Roman" w:hAnsi="Times New Roman"/>
          <w:sz w:val="24"/>
        </w:rPr>
        <w:t xml:space="preserve">gas 44, oil 14, biomass 17, district heat 11 and resistance 6. By 2050 the heat-pump share</w:t>
      </w:r>
      <w:r>
        <w:rPr>
          <w:rFonts w:ascii="Times New Roman" w:hAnsi="Times New Roman"/>
          <w:sz w:val="24"/>
        </w:rPr>
        <w:t xml:space="preserve"> </w:t>
      </w:r>
      <w:r>
        <w:rPr>
          <w:rFonts w:ascii="Times New Roman" w:hAnsi="Times New Roman"/>
          <w:sz w:val="24"/>
        </w:rPr>
        <w:t xml:space="preserve">climbs from 29 per cent under Current Policies through 37 per cent under Stated Policies</w:t>
      </w:r>
      <w:r>
        <w:rPr>
          <w:rFonts w:ascii="Times New Roman" w:hAnsi="Times New Roman"/>
          <w:sz w:val="24"/>
        </w:rPr>
        <w:t xml:space="preserve"> </w:t>
      </w:r>
      <w:r>
        <w:rPr>
          <w:rFonts w:ascii="Times New Roman" w:hAnsi="Times New Roman"/>
          <w:sz w:val="24"/>
        </w:rPr>
        <w:t xml:space="preserve">to 49 per cent under Net Zero, and district heat reaches 31 per cent in the deep pathway.</w:t>
      </w:r>
      <w:r>
        <w:rPr>
          <w:rFonts w:ascii="Times New Roman" w:hAnsi="Times New Roman"/>
          <w:sz w:val="24"/>
        </w:rPr>
        <w:t xml:space="preserve"> </w:t>
      </w:r>
      <w:r>
        <w:rPr>
          <w:rFonts w:ascii="Times New Roman" w:hAnsi="Times New Roman"/>
          <w:sz w:val="24"/>
        </w:rPr>
        <w:t xml:space="preserve">Residual fossil falls to zero at the median under Net Zero, below that scenario’s own</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5 per cent ambition, though it survives in 49 of its 200 draws. Fig. </w:t>
      </w:r>
      <w:r>
        <w:rPr>
          <w:rFonts w:ascii="Times New Roman" w:hAnsi="Times New Roman" w:cs="Times New Roman"/>
          <w:sz w:val="24"/>
        </w:rPr>
        <w:fldChar w:fldCharType="begin"/>
      </w:r>
      <w:r>
        <w:rPr>
          <w:rFonts w:ascii="Times New Roman" w:hAnsi="Times New Roman" w:cs="Times New Roman"/>
          <w:sz w:val="24"/>
        </w:rPr>
        <w:instrText xml:space="preserve"> REF fig_3 \h </w:instrText>
      </w:r>
      <w:r>
        <w:rPr>
          <w:rFonts w:ascii="Times New Roman" w:hAnsi="Times New Roman" w:cs="Times New Roman"/>
          <w:sz w:val="24"/>
        </w:rPr>
        <w:fldChar w:fldCharType="separate"/>
      </w:r>
      <w:r>
        <w:rPr>
          <w:rFonts w:ascii="Times New Roman" w:hAnsi="Times New Roman" w:cs="Times New Roman"/>
          <w:sz w:val="24"/>
        </w:rPr>
        <w:t xml:space="preserve">3</w:t>
      </w:r>
      <w:r>
        <w:rPr>
          <w:rFonts w:ascii="Times New Roman" w:hAnsi="Times New Roman" w:cs="Times New Roman"/>
          <w:sz w:val="24"/>
        </w:rPr>
        <w:fldChar w:fldCharType="end"/>
      </w:r>
      <w:r>
        <w:rPr>
          <w:rFonts w:ascii="Times New Roman" w:hAnsi="Times New Roman" w:cs="Times New Roman"/>
          <w:sz w:val="24"/>
        </w:rPr>
        <w:t xml:space="preserve"> shows the mixes. Even</w:t>
      </w:r>
      <w:r>
        <w:rPr>
          <w:rFonts w:ascii="Times New Roman" w:hAnsi="Times New Roman"/>
          <w:sz w:val="24"/>
        </w:rPr>
        <w:t xml:space="preserve"> </w:t>
      </w:r>
      <w:r>
        <w:rPr>
          <w:rFonts w:ascii="Times New Roman" w:hAnsi="Times New Roman"/>
          <w:sz w:val="24"/>
        </w:rPr>
        <w:t xml:space="preserve">in the deliberately hydrogen-favourable H2 Push world hydrogen reaches only</w:t>
      </w:r>
      <w:r>
        <w:rPr>
          <w:rFonts w:ascii="Times New Roman" w:hAnsi="Times New Roman"/>
          <w:sz w:val="24"/>
        </w:rPr>
        <w:t xml:space="preserve"> </w:t>
      </w:r>
      <w:r>
        <w:rPr>
          <w:rFonts w:ascii="Times New Roman" w:hAnsi="Times New Roman"/>
          <w:sz w:val="24"/>
        </w:rPr>
        <w:t xml:space="preserve">8.5 per cent of useful heat at the realised median against an 8 per cent lever setting,</w:t>
      </w:r>
      <w:r>
        <w:rPr>
          <w:rFonts w:ascii="Times New Roman" w:hAnsi="Times New Roman"/>
          <w:sz w:val="24"/>
        </w:rPr>
        <w:t xml:space="preserve"> </w:t>
      </w:r>
      <w:r>
        <w:rPr>
          <w:rFonts w:ascii="Times New Roman" w:hAnsi="Times New Roman"/>
          <w:sz w:val="24"/>
        </w:rPr>
        <w:t xml:space="preserve">the overshoot coming from the sampling of that lever. These settings are adoption pathways the dispatch screen tests rather than sets, and it supports 0, 0.6, 7.5 and</w:t>
      </w:r>
      <w:r>
        <w:rPr>
          <w:rFonts w:ascii="Times New Roman" w:hAnsi="Times New Roman"/>
          <w:sz w:val="24"/>
        </w:rPr>
        <w:t xml:space="preserve"> </w:t>
      </w:r>
      <w:r>
        <w:rPr>
          <w:rFonts w:ascii="Times New Roman" w:hAnsi="Times New Roman"/>
          <w:sz w:val="24"/>
        </w:rPr>
        <w:t xml:space="preserve">9.0 per cent by demand (Section 3.3), so three of the four sit under it, whereas Stated Policies does not: 5 per cent of announced adoption against 0.6 of</w:t>
      </w:r>
      <w:r>
        <w:rPr>
          <w:rFonts w:ascii="Times New Roman" w:hAnsi="Times New Roman"/>
          <w:sz w:val="24"/>
        </w:rPr>
        <w:t xml:space="preserve"> </w:t>
      </w:r>
      <w:r>
        <w:rPr>
          <w:rFonts w:ascii="Times New Roman" w:hAnsi="Times New Roman"/>
          <w:sz w:val="24"/>
        </w:rPr>
        <w:t xml:space="preserve">operating-cost support. Net Zero sits well under its own because electrification</w:t>
      </w:r>
      <w:r>
        <w:rPr>
          <w:rFonts w:ascii="Times New Roman" w:hAnsi="Times New Roman"/>
          <w:sz w:val="24"/>
        </w:rPr>
        <w:t xml:space="preserve"> </w:t>
      </w:r>
      <w:r>
        <w:rPr>
          <w:rFonts w:ascii="Times New Roman" w:hAnsi="Times New Roman"/>
          <w:sz w:val="24"/>
        </w:rPr>
        <w:t xml:space="preserve">displaces hydrogen for reasons the peak dispatch does not price.</w:t>
      </w:r>
    </w:p>
    <w:bookmarkStart w:id="25" w:name="fig:mix"/>
    <w:p>
      <w:pPr>
        <w:pStyle w:val="CaptionedFigure"/>
        <w:keepNext/>
      </w:pPr>
      <w:r>
        <w:rPr>
          <w:rFonts w:ascii="Times New Roman" w:hAnsi="Times New Roman"/>
          <w:sz w:val="24"/>
        </w:rPr>
        <w:drawing>
          <wp:inline>
            <wp:extent cx="4762213" cy="2745491"/>
            <wp:effectExtent b="0" l="0" r="0" t="0"/>
            <wp:docPr descr="" title="" id="23" name="Picture"/>
            <a:graphic>
              <a:graphicData uri="http://schemas.openxmlformats.org/drawingml/2006/picture">
                <pic:pic>
                  <pic:nvPicPr>
                    <pic:cNvPr descr="P05_mix_2050.png" id="24" name="Picture"/>
                    <pic:cNvPicPr>
                      <a:picLocks noChangeArrowheads="1" noChangeAspect="1"/>
                    </pic:cNvPicPr>
                  </pic:nvPicPr>
                  <pic:blipFill>
                    <a:blip r:embed="rId22"/>
                    <a:stretch>
                      <a:fillRect/>
                    </a:stretch>
                  </pic:blipFill>
                  <pic:spPr bwMode="auto">
                    <a:xfrm>
                      <a:off x="0" y="0"/>
                      <a:ext cx="4762213" cy="2745491"/>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6" w:name="fig_3"/>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3</w:t>
      </w:r>
      <w:r>
        <w:rPr>
          <w:rFonts w:ascii="Times New Roman" w:hAnsi="Times New Roman" w:cs="Times New Roman"/>
          <w:sz w:val="24"/>
        </w:rPr>
        <w:fldChar w:fldCharType="end"/>
      </w:r>
      <w:bookmarkEnd w:id="1006"/>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2050 heating-technology mix by scenario.</w:t>
      </w:r>
      <w:r>
        <w:rPr>
          <w:rFonts w:ascii="Times New Roman" w:hAnsi="Times New Roman"/>
          <w:sz w:val="24"/>
        </w:rPr>
        <w:t xml:space="preserve"> </w:t>
      </w:r>
      <w:r>
        <w:rPr>
          <w:rFonts w:ascii="Times New Roman" w:hAnsi="Times New Roman"/>
          <w:sz w:val="24"/>
        </w:rPr>
        <w:t xml:space="preserve">EU-27, United Kingdom and Switzerland,</w:t>
      </w:r>
      <w:r>
        <w:rPr>
          <w:rFonts w:ascii="Times New Roman" w:hAnsi="Times New Roman"/>
          <w:sz w:val="24"/>
        </w:rPr>
        <w:t xml:space="preserve"> </w:t>
      </w:r>
      <w:r>
        <w:rPr>
          <w:rFonts w:ascii="Times New Roman" w:hAnsi="Times New Roman"/>
          <w:sz w:val="24"/>
        </w:rPr>
        <w:t xml:space="preserve">useful-heat basis. Segments below 2 per cent are unlabelled.</w:t>
      </w:r>
    </w:p>
    <w:bookmarkEnd w:id="25"/>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bars are per-technology medians across draws with absent technologies counted as zero, renormalised to 100 per cent from raw sums of 97.5–100.1. Labelled segments are rounded to the nearest point and carry the renormalised shares, so hydrogen’s 8.5 per cent under H2 Push prints as 8, Net Zero’s 3.5 prints as 4, and the two Stated Policies heat-pump segments sum to 36 against the 37 in the text.</w:t>
      </w:r>
    </w:p>
    <w:p>
      <w:pPr>
        <w:pStyle w:val="BodyText"/>
      </w:pPr>
      <w:r>
        <w:rPr>
          <w:rFonts w:ascii="Times New Roman" w:hAnsi="Times New Roman"/>
          <w:sz w:val="24"/>
        </w:rPr>
        <w:t xml:space="preserve">Demand moves little across the pathways, whereas emissions fan out from the same reconstructed 2025 baseline of about 644 MtCO</w:t>
      </w:r>
      <w:r>
        <w:rPr>
          <w:vertAlign w:val="subscript"/>
        </w:rPr>
        <w:t xml:space="preserve">2</w:t>
      </w:r>
      <w:r>
        <w:rPr>
          <w:rFonts w:ascii="Times New Roman" w:hAnsi="Times New Roman"/>
          <w:sz w:val="24"/>
        </w:rPr>
        <w:t xml:space="preserve"> </w:t>
      </w:r>
      <w:r>
        <w:rPr>
          <w:rFonts w:ascii="Times New Roman" w:hAnsi="Times New Roman"/>
          <w:sz w:val="24"/>
        </w:rPr>
        <w:t xml:space="preserve">to roughly 352, 231, 10 and 123 MtCO</w:t>
      </w:r>
      <w:r>
        <w:rPr>
          <w:vertAlign w:val="subscript"/>
        </w:rPr>
        <w:t xml:space="preserve">2</w:t>
      </w:r>
      <w:r>
        <w:rPr>
          <w:rFonts w:ascii="Times New Roman" w:hAnsi="Times New Roman"/>
          <w:sz w:val="24"/>
        </w:rPr>
        <w:t xml:space="preserve"> </w:t>
      </w:r>
      <w:r>
        <w:rPr>
          <w:rFonts w:ascii="Times New Roman" w:hAnsi="Times New Roman"/>
          <w:sz w:val="24"/>
        </w:rPr>
        <w:t xml:space="preserve">by 2050 under Current Policies, Stated Policies, Net Zero and H2 Push respectively. The Net Zero spread is a two-branch mixture that no tail</w:t>
      </w:r>
      <w:r>
        <w:rPr>
          <w:rFonts w:ascii="Times New Roman" w:hAnsi="Times New Roman"/>
          <w:sz w:val="24"/>
        </w:rPr>
        <w:t xml:space="preserve"> </w:t>
      </w:r>
      <w:r>
        <w:rPr>
          <w:rFonts w:ascii="Times New Roman" w:hAnsi="Times New Roman"/>
          <w:sz w:val="24"/>
        </w:rPr>
        <w:t xml:space="preserve">describes, with 151 draws near 10 MtCO</w:t>
      </w:r>
      <w:r>
        <w:rPr>
          <w:vertAlign w:val="subscript"/>
        </w:rPr>
        <w:t xml:space="preserve">2</w:t>
      </w:r>
      <w:r>
        <w:rPr>
          <w:rFonts w:ascii="Times New Roman" w:hAnsi="Times New Roman"/>
          <w:sz w:val="24"/>
        </w:rPr>
        <w:t xml:space="preserve"> </w:t>
      </w:r>
      <w:r>
        <w:rPr>
          <w:rFonts w:ascii="Times New Roman" w:hAnsi="Times New Roman"/>
          <w:sz w:val="24"/>
        </w:rPr>
        <w:t xml:space="preserve">and 49 near 70, so its decile band should be</w:t>
      </w:r>
      <w:r>
        <w:rPr>
          <w:rFonts w:ascii="Times New Roman" w:hAnsi="Times New Roman"/>
          <w:sz w:val="24"/>
        </w:rPr>
        <w:t xml:space="preserve"> </w:t>
      </w:r>
      <w:r>
        <w:rPr>
          <w:rFonts w:ascii="Times New Roman" w:hAnsi="Times New Roman"/>
          <w:sz w:val="24"/>
        </w:rPr>
        <w:t xml:space="preserve">read as two outcomes and their probabilities. The same technology set is available in every scenario, so ambition alone separates the</w:t>
      </w:r>
      <w:r>
        <w:rPr>
          <w:rFonts w:ascii="Times New Roman" w:hAnsi="Times New Roman"/>
          <w:sz w:val="24"/>
        </w:rPr>
        <w:t xml:space="preserve"> </w:t>
      </w:r>
      <w:r>
        <w:rPr>
          <w:rFonts w:ascii="Times New Roman" w:hAnsi="Times New Roman"/>
          <w:sz w:val="24"/>
        </w:rPr>
        <w:t xml:space="preserve">outcomes, and the roughly 342 MtCO</w:t>
      </w:r>
      <w:r>
        <w:rPr>
          <w:vertAlign w:val="subscript"/>
        </w:rPr>
        <w:t xml:space="preserve">2</w:t>
      </w:r>
      <w:r>
        <w:rPr>
          <w:rFonts w:ascii="Times New Roman" w:hAnsi="Times New Roman"/>
          <w:sz w:val="24"/>
        </w:rPr>
        <w:t xml:space="preserve">/yr Current Policies to Net Zero gap at 2050 is the</w:t>
      </w:r>
      <w:r>
        <w:rPr>
          <w:rFonts w:ascii="Times New Roman" w:hAnsi="Times New Roman"/>
          <w:sz w:val="24"/>
        </w:rPr>
        <w:t xml:space="preserve"> </w:t>
      </w:r>
      <w:r>
        <w:rPr>
          <w:rFonts w:ascii="Times New Roman" w:hAnsi="Times New Roman"/>
          <w:sz w:val="24"/>
        </w:rPr>
        <w:t xml:space="preserve">value of closing the implementation gap in residential heat, a spread the fossil-phaseout</w:t>
      </w:r>
      <w:r>
        <w:rPr>
          <w:rFonts w:ascii="Times New Roman" w:hAnsi="Times New Roman"/>
          <w:sz w:val="24"/>
        </w:rPr>
        <w:t xml:space="preserve"> </w:t>
      </w:r>
      <w:r>
        <w:rPr>
          <w:rFonts w:ascii="Times New Roman" w:hAnsi="Times New Roman"/>
          <w:sz w:val="24"/>
        </w:rPr>
        <w:t xml:space="preserve">lever leads. Its ranking and sign are invariant to the shared 2025 anchor while the levels</w:t>
      </w:r>
      <w:r>
        <w:rPr>
          <w:rFonts w:ascii="Times New Roman" w:hAnsi="Times New Roman"/>
          <w:sz w:val="24"/>
        </w:rPr>
        <w:t xml:space="preserve"> </w:t>
      </w:r>
      <w:r>
        <w:rPr>
          <w:rFonts w:ascii="Times New Roman" w:hAnsi="Times New Roman"/>
          <w:sz w:val="24"/>
        </w:rPr>
        <w:t xml:space="preserve">scale with it.</w:t>
      </w:r>
    </w:p>
    <w:bookmarkEnd w:id="26"/>
    <w:bookmarkStart w:id="31" w:name="sec:results:lcoh"/>
    <w:p>
      <w:pPr>
        <w:pStyle w:val="Heading2"/>
      </w:pPr>
      <w:r>
        <w:rPr>
          <w:rStyle w:val="SectionNumber"/>
          <w:rFonts w:ascii="Times New Roman" w:hAnsi="Times New Roman"/>
          <w:sz w:val="24"/>
        </w:rPr>
        <w:t xml:space="preserve">3.2</w:t>
      </w:r>
      <w:r>
        <w:rPr>
          <w:rFonts w:ascii="Times New Roman" w:hAnsi="Times New Roman"/>
          <w:sz w:val="24"/>
        </w:rPr>
        <w:tab/>
      </w:r>
      <w:r>
        <w:rPr>
          <w:rFonts w:ascii="Times New Roman" w:hAnsi="Times New Roman"/>
          <w:sz w:val="24"/>
        </w:rPr>
        <w:t xml:space="preserve">Levelised cost of heat</w:t>
      </w:r>
    </w:p>
    <w:p>
      <w:pPr>
        <w:pStyle w:val="FirstParagraph"/>
      </w:pP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fig_4 \h </w:instrText>
      </w:r>
      <w:r>
        <w:rPr>
          <w:rFonts w:ascii="Times New Roman" w:hAnsi="Times New Roman" w:cs="Times New Roman"/>
          <w:sz w:val="24"/>
        </w:rPr>
        <w:fldChar w:fldCharType="separate"/>
      </w:r>
      <w:r>
        <w:rPr>
          <w:rFonts w:ascii="Times New Roman" w:hAnsi="Times New Roman" w:cs="Times New Roman"/>
          <w:sz w:val="24"/>
        </w:rPr>
        <w:t xml:space="preserve">4</w:t>
      </w:r>
      <w:r>
        <w:rPr>
          <w:rFonts w:ascii="Times New Roman" w:hAnsi="Times New Roman" w:cs="Times New Roman"/>
          <w:sz w:val="24"/>
        </w:rPr>
        <w:fldChar w:fldCharType="end"/>
      </w:r>
      <w:r>
        <w:rPr>
          <w:rFonts w:ascii="Times New Roman" w:hAnsi="Times New Roman" w:cs="Times New Roman"/>
          <w:sz w:val="24"/>
        </w:rPr>
        <w:t xml:space="preserve"> presents the levelised cost of heat by component for 2030 and 2050, at the study median for each technology and year. The base-load ordering is close at the median and wide across the 29 countries.</w:t>
      </w:r>
      <w:r>
        <w:rPr>
          <w:rFonts w:ascii="Times New Roman" w:hAnsi="Times New Roman"/>
          <w:sz w:val="24"/>
        </w:rPr>
        <w:t xml:space="preserve"> </w:t>
      </w:r>
      <w:r>
        <w:rPr>
          <w:rFonts w:ascii="Times New Roman" w:hAnsi="Times New Roman"/>
          <w:sz w:val="24"/>
        </w:rPr>
        <w:t xml:space="preserve">Air-source heat pumps and gas boilers reach parity in 2025 at about €156/MWh each,</w:t>
      </w:r>
      <w:r>
        <w:rPr>
          <w:rFonts w:ascii="Times New Roman" w:hAnsi="Times New Roman"/>
          <w:sz w:val="24"/>
        </w:rPr>
        <w:t xml:space="preserve"> </w:t>
      </w:r>
      <w:r>
        <w:rPr>
          <w:rFonts w:ascii="Times New Roman" w:hAnsi="Times New Roman"/>
          <w:sz w:val="24"/>
        </w:rPr>
        <w:t xml:space="preserve">on the Eurostat EU average gas price of €114/MWh including taxes</w:t>
      </w:r>
      <w:r>
        <w:rPr>
          <w:rFonts w:ascii="Times New Roman" w:hAnsi="Times New Roman"/>
          <w:sz w:val="24"/>
        </w:rPr>
        <w:t xml:space="preserve"> </w:t>
      </w:r>
      <w:r>
        <w:rPr>
          <w:rFonts w:ascii="Times New Roman" w:hAnsi="Times New Roman"/>
          <w:sz w:val="24"/>
        </w:rPr>
        <w:t xml:space="preserve">[50]</w:t>
      </w:r>
      <w:r>
        <w:rPr>
          <w:rFonts w:ascii="Times New Roman" w:hAnsi="Times New Roman"/>
          <w:sz w:val="24"/>
        </w:rPr>
        <w:t xml:space="preserve"> </w:t>
      </w:r>
      <w:r>
        <w:rPr>
          <w:rFonts w:ascii="Times New Roman" w:hAnsi="Times New Roman"/>
          <w:sz w:val="24"/>
        </w:rPr>
        <w:t xml:space="preserve">against existing-fleet seasonal COPs of 2.8–4.1</w:t>
      </w:r>
      <w:r>
        <w:rPr>
          <w:rFonts w:ascii="Times New Roman" w:hAnsi="Times New Roman"/>
          <w:sz w:val="24"/>
        </w:rPr>
        <w:t xml:space="preserve"> </w:t>
      </w:r>
      <w:r>
        <w:rPr>
          <w:rFonts w:ascii="Times New Roman" w:hAnsi="Times New Roman"/>
          <w:sz w:val="24"/>
        </w:rPr>
        <w:t xml:space="preserve">[59]</w:t>
      </w:r>
      <w:r>
        <w:rPr>
          <w:rFonts w:ascii="Times New Roman" w:hAnsi="Times New Roman"/>
          <w:sz w:val="24"/>
        </w:rPr>
        <w:t xml:space="preserve">, and behind it the best heat pump per country already undercuts gas in 16 of the 29. By 2050 the median best heat pump</w:t>
      </w:r>
      <w:r>
        <w:rPr>
          <w:rFonts w:ascii="Times New Roman" w:hAnsi="Times New Roman"/>
          <w:sz w:val="24"/>
        </w:rPr>
        <w:t xml:space="preserve"> </w:t>
      </w:r>
      <w:r>
        <w:rPr>
          <w:rFonts w:ascii="Times New Roman" w:hAnsi="Times New Roman"/>
          <w:sz w:val="24"/>
        </w:rPr>
        <w:t xml:space="preserve">sits at €118.5/MWh against €132.7/MWh for gas, winning in 24 of the 29. Only the gas boiler pays a carbon price at 2050, so that count runs from 19 markets to 29</w:t>
      </w:r>
      <w:r>
        <w:rPr>
          <w:rFonts w:ascii="Times New Roman" w:hAnsi="Times New Roman"/>
          <w:sz w:val="24"/>
        </w:rPr>
        <w:t xml:space="preserve"> </w:t>
      </w:r>
      <w:r>
        <w:rPr>
          <w:rFonts w:ascii="Times New Roman" w:hAnsi="Times New Roman"/>
          <w:sz w:val="24"/>
        </w:rPr>
        <w:t xml:space="preserve">across the carbon paths. Each €50/tCO</w:t>
      </w:r>
      <w:r>
        <w:rPr>
          <w:vertAlign w:val="subscript"/>
        </w:rPr>
        <w:t xml:space="preserve">2</w:t>
      </w:r>
      <w:r>
        <w:rPr>
          <w:rFonts w:ascii="Times New Roman" w:hAnsi="Times New Roman"/>
          <w:sz w:val="24"/>
        </w:rPr>
        <w:t xml:space="preserve"> </w:t>
      </w:r>
      <w:r>
        <w:rPr>
          <w:rFonts w:ascii="Times New Roman" w:hAnsi="Times New Roman"/>
          <w:sz w:val="24"/>
        </w:rPr>
        <w:t xml:space="preserve">of ETS2 adds about €11/MWh to the gas boiler against a</w:t>
      </w:r>
      <w:r>
        <w:rPr>
          <w:rFonts w:ascii="Times New Roman" w:hAnsi="Times New Roman"/>
          <w:sz w:val="24"/>
        </w:rPr>
        <w:t xml:space="preserve"> </w:t>
      </w:r>
      <w:r>
        <w:rPr>
          <w:rFonts w:ascii="Times New Roman" w:hAnsi="Times New Roman"/>
          <w:sz w:val="24"/>
        </w:rPr>
        <w:t xml:space="preserve">median €0.7/MWh on the heat pump at 2030, because electricity carries only the</w:t>
      </w:r>
      <w:r>
        <w:rPr>
          <w:rFonts w:ascii="Times New Roman" w:hAnsi="Times New Roman"/>
          <w:sz w:val="24"/>
        </w:rPr>
        <w:t xml:space="preserve"> </w:t>
      </w:r>
      <w:r>
        <w:rPr>
          <w:rFonts w:ascii="Times New Roman" w:hAnsi="Times New Roman"/>
          <w:sz w:val="24"/>
        </w:rPr>
        <w:t xml:space="preserve">increment above its 2025 carbon cost, which reaches zero by 2050. The ordering matches in direction the European household comparison of the ICCT</w:t>
      </w:r>
      <w:r>
        <w:rPr>
          <w:rFonts w:ascii="Times New Roman" w:hAnsi="Times New Roman"/>
          <w:sz w:val="24"/>
        </w:rPr>
        <w:t xml:space="preserve"> </w:t>
      </w:r>
      <w:r>
        <w:rPr>
          <w:rFonts w:ascii="Times New Roman" w:hAnsi="Times New Roman"/>
          <w:sz w:val="24"/>
        </w:rPr>
        <w:t xml:space="preserve">[18]</w:t>
      </w:r>
      <w:r>
        <w:rPr>
          <w:rFonts w:ascii="Times New Roman" w:hAnsi="Times New Roman"/>
          <w:sz w:val="24"/>
        </w:rPr>
        <w:t xml:space="preserve">, which is built on a different accounting.</w:t>
      </w:r>
    </w:p>
    <w:p>
      <w:pPr>
        <w:pStyle w:val="BodyText"/>
      </w:pPr>
      <w:r>
        <w:rPr>
          <w:rFonts w:ascii="Times New Roman" w:hAnsi="Times New Roman"/>
          <w:sz w:val="24"/>
        </w:rPr>
        <w:t xml:space="preserve">District heat undercuts both at about €96.5/MWh, though not on the same basis, since</w:t>
      </w:r>
      <w:r>
        <w:rPr>
          <w:rFonts w:ascii="Times New Roman" w:hAnsi="Times New Roman"/>
          <w:sz w:val="24"/>
        </w:rPr>
        <w:t xml:space="preserve"> </w:t>
      </w:r>
      <w:r>
        <w:rPr>
          <w:rFonts w:ascii="Times New Roman" w:hAnsi="Times New Roman"/>
          <w:sz w:val="24"/>
        </w:rPr>
        <w:t xml:space="preserve">it pays no last-mile connection charge here. Charging it the</w:t>
      </w:r>
      <w:r>
        <w:rPr>
          <w:rFonts w:ascii="Times New Roman" w:hAnsi="Times New Roman"/>
          <w:sz w:val="24"/>
        </w:rPr>
        <w:t xml:space="preserve"> </w:t>
      </w:r>
      <w:r>
        <w:rPr>
          <w:rFonts w:ascii="Times New Roman" w:hAnsi="Times New Roman"/>
          <w:sz w:val="24"/>
        </w:rPr>
        <w:t xml:space="preserve">€5</w:t>
      </w:r>
      <w:r>
        <w:rPr>
          <w:rFonts w:ascii="Times New Roman" w:hAnsi="Times New Roman"/>
          <w:sz w:val="24"/>
        </w:rPr>
        <w:t xml:space="preserve">,</w:t>
      </w:r>
      <w:r>
        <w:rPr>
          <w:rFonts w:ascii="Times New Roman" w:hAnsi="Times New Roman"/>
          <w:sz w:val="24"/>
        </w:rPr>
        <w:t xml:space="preserve">000 per connection our infrastructure bill assigns adds a median</w:t>
      </w:r>
      <w:r>
        <w:rPr>
          <w:rFonts w:ascii="Times New Roman" w:hAnsi="Times New Roman"/>
          <w:sz w:val="24"/>
        </w:rPr>
        <w:t xml:space="preserve"> </w:t>
      </w:r>
      <w:r>
        <w:rPr>
          <w:rFonts w:ascii="Times New Roman" w:hAnsi="Times New Roman"/>
          <w:sz w:val="24"/>
        </w:rPr>
        <w:t xml:space="preserve">€21.0/MWh and takes it from cheaper than the best heat pump in 26 of 29 countries to</w:t>
      </w:r>
      <w:r>
        <w:rPr>
          <w:rFonts w:ascii="Times New Roman" w:hAnsi="Times New Roman"/>
          <w:sz w:val="24"/>
        </w:rPr>
        <w:t xml:space="preserve"> </w:t>
      </w:r>
      <w:r>
        <w:rPr>
          <w:rFonts w:ascii="Times New Roman" w:hAnsi="Times New Roman"/>
          <w:sz w:val="24"/>
        </w:rPr>
        <w:t xml:space="preserve">7. The hydrogen boiler closes most of the distance without closing it, falling from about €299/MWh in 2025 to €122.8/MWh by 2050. Fuel is the largest cost component for all</w:t>
      </w:r>
      <w:r>
        <w:rPr>
          <w:rFonts w:ascii="Times New Roman" w:hAnsi="Times New Roman"/>
          <w:sz w:val="24"/>
        </w:rPr>
        <w:t xml:space="preserve"> </w:t>
      </w:r>
      <w:r>
        <w:rPr>
          <w:rFonts w:ascii="Times New Roman" w:hAnsi="Times New Roman"/>
          <w:sz w:val="24"/>
        </w:rPr>
        <w:t xml:space="preserve">three technologies. Capital accounts for about 28 per cent of median heat-pump LCOH,</w:t>
      </w:r>
      <w:r>
        <w:rPr>
          <w:rFonts w:ascii="Times New Roman" w:hAnsi="Times New Roman"/>
          <w:sz w:val="24"/>
        </w:rPr>
        <w:t xml:space="preserve"> </w:t>
      </w:r>
      <w:r>
        <w:rPr>
          <w:rFonts w:ascii="Times New Roman" w:hAnsi="Times New Roman"/>
          <w:sz w:val="24"/>
        </w:rPr>
        <w:t xml:space="preserve">while the hydrogen boiler’s network-and-storage component, at about 27 per cent, is</w:t>
      </w:r>
      <w:r>
        <w:rPr>
          <w:rFonts w:ascii="Times New Roman" w:hAnsi="Times New Roman"/>
          <w:sz w:val="24"/>
        </w:rPr>
        <w:t xml:space="preserve"> </w:t>
      </w:r>
      <w:r>
        <w:rPr>
          <w:rFonts w:ascii="Times New Roman" w:hAnsi="Times New Roman"/>
          <w:sz w:val="24"/>
        </w:rPr>
        <w:t xml:space="preserve">comparable to its combined capital and fixed O&amp;M.</w:t>
      </w:r>
    </w:p>
    <w:p>
      <w:pPr>
        <w:pStyle w:val="BodyText"/>
      </w:pPr>
      <w:r>
        <w:rPr>
          <w:rFonts w:ascii="Times New Roman" w:hAnsi="Times New Roman"/>
          <w:sz w:val="24"/>
        </w:rPr>
        <w:t xml:space="preserve">With each carrier charged the last-mile network it needs and hydrogen the seasonal store</w:t>
      </w:r>
      <w:r>
        <w:rPr>
          <w:rFonts w:ascii="Times New Roman" w:hAnsi="Times New Roman"/>
          <w:sz w:val="24"/>
        </w:rPr>
        <w:t xml:space="preserve"> </w:t>
      </w:r>
      <w:r>
        <w:rPr>
          <w:rFonts w:ascii="Times New Roman" w:hAnsi="Times New Roman"/>
          <w:sz w:val="24"/>
        </w:rPr>
        <w:t xml:space="preserve">its winter-weighted load requires, hydrogen holds 7 and heat pumps the remaining 22. Across all 29 markets, the median 2050 country gap is</w:t>
      </w:r>
      <w:r>
        <w:rPr>
          <w:rFonts w:ascii="Times New Roman" w:hAnsi="Times New Roman"/>
          <w:sz w:val="24"/>
        </w:rPr>
        <w:t xml:space="preserve"> </w:t>
      </w:r>
      <w:r>
        <w:t xml:space="preserve">+</w:t>
      </w:r>
      <w:r>
        <w:rPr>
          <w:rFonts w:ascii="Times New Roman" w:hAnsi="Times New Roman"/>
          <w:sz w:val="24"/>
        </w:rPr>
        <w:t xml:space="preserve">€15.4/MWh, whereas the mean weighted by 2025 country heat demand is</w:t>
      </w:r>
      <w:r>
        <w:rPr>
          <w:rFonts w:ascii="Times New Roman" w:hAnsi="Times New Roman"/>
          <w:sz w:val="24"/>
        </w:rPr>
        <w:t xml:space="preserve"> </w:t>
      </w:r>
      <w:r>
        <w:t xml:space="preserve">+</w:t>
      </w:r>
      <w:r>
        <w:rPr>
          <w:rFonts w:ascii="Times New Roman" w:hAnsi="Times New Roman"/>
          <w:sz w:val="24"/>
        </w:rPr>
        <w:t xml:space="preserve">€1.4/MWh, since hydrogen still competes in the large north-western markets</w:t>
      </w:r>
      <w:r>
        <w:rPr>
          <w:rFonts w:ascii="Times New Roman" w:hAnsi="Times New Roman"/>
          <w:sz w:val="24"/>
        </w:rPr>
        <w:t xml:space="preserve"> </w:t>
      </w:r>
      <w:r>
        <w:rPr>
          <w:rFonts w:ascii="Times New Roman" w:hAnsi="Times New Roman"/>
          <w:sz w:val="24"/>
        </w:rPr>
        <w:t xml:space="preserve">(Supplementary Table S6 and Section S2.2). The seasonal store sets how wide those margins are and decides the peaking arena. Space heating draws about three-quarters of its annual energy between October and March, whereas electrolytic production is far flatter. The mismatch is held between seasons at an assumed €1.5/kg with salt caverns and €3.0/kg without, rates consistent in order with those Papadias et al. and Talukdar et al. report for bulk storage</w:t>
      </w:r>
      <w:r>
        <w:rPr>
          <w:rFonts w:ascii="Times New Roman" w:hAnsi="Times New Roman"/>
          <w:sz w:val="24"/>
        </w:rPr>
        <w:t xml:space="preserve"> </w:t>
      </w:r>
      <w:r>
        <w:rPr>
          <w:rFonts w:ascii="Times New Roman" w:hAnsi="Times New Roman"/>
          <w:sz w:val="24"/>
        </w:rPr>
        <w:t xml:space="preserve">[54], [55], [60]</w:t>
      </w:r>
      <w:r>
        <w:rPr>
          <w:rFonts w:ascii="Times New Roman" w:hAnsi="Times New Roman"/>
          <w:sz w:val="24"/>
        </w:rPr>
        <w:t xml:space="preserve">. Spread over the annual load, that is about €12/MWh with caverns and €24 without; and charged to the peak slice alone it is the €50 and €100/MWh-heat the dispatch tests use.</w:t>
      </w:r>
      <w:r>
        <w:rPr>
          <w:rFonts w:ascii="Times New Roman" w:hAnsi="Times New Roman"/>
          <w:sz w:val="24"/>
        </w:rPr>
        <w:t xml:space="preserve"> </w:t>
      </w:r>
      <w:r>
        <w:rPr>
          <w:rFonts w:ascii="Times New Roman" w:hAnsi="Times New Roman"/>
          <w:sz w:val="24"/>
        </w:rPr>
        <w:t xml:space="preserve">Cheap geology widens the five cavern margins without selecting the set, since at the</w:t>
      </w:r>
      <w:r>
        <w:rPr>
          <w:rFonts w:ascii="Times New Roman" w:hAnsi="Times New Roman"/>
          <w:sz w:val="24"/>
        </w:rPr>
        <w:t xml:space="preserve"> </w:t>
      </w:r>
      <w:r>
        <w:rPr>
          <w:rFonts w:ascii="Times New Roman" w:hAnsi="Times New Roman"/>
          <w:sz w:val="24"/>
        </w:rPr>
        <w:t xml:space="preserve">non-cavern rate five still hold, though not the same five.</w:t>
      </w:r>
    </w:p>
    <w:p>
      <w:pPr>
        <w:pStyle w:val="BodyText"/>
      </w:pPr>
      <w:r>
        <w:rPr>
          <w:rFonts w:ascii="Times New Roman" w:hAnsi="Times New Roman"/>
          <w:sz w:val="24"/>
        </w:rPr>
        <w:t xml:space="preserve">Three caveats bear on the base-load case, and the second is the most consequential. The</w:t>
      </w:r>
      <w:r>
        <w:rPr>
          <w:rFonts w:ascii="Times New Roman" w:hAnsi="Times New Roman"/>
          <w:sz w:val="24"/>
        </w:rPr>
        <w:t xml:space="preserve"> </w:t>
      </w:r>
      <w:r>
        <w:rPr>
          <w:rFonts w:ascii="Times New Roman" w:hAnsi="Times New Roman"/>
          <w:sz w:val="24"/>
        </w:rPr>
        <w:t xml:space="preserve">first is fiscal. The comparison sets a household’s taxed retail electricity price, a 2050 study-area</w:t>
      </w:r>
      <w:r>
        <w:rPr>
          <w:rFonts w:ascii="Times New Roman" w:hAnsi="Times New Roman"/>
          <w:sz w:val="24"/>
        </w:rPr>
        <w:t xml:space="preserve"> </w:t>
      </w:r>
      <w:r>
        <w:rPr>
          <w:rFonts w:ascii="Times New Roman" w:hAnsi="Times New Roman"/>
          <w:sz w:val="24"/>
        </w:rPr>
        <w:t xml:space="preserve">median of about €209/MWh, against hydrogen at roughly €50/MWh delivered and</w:t>
      </w:r>
      <w:r>
        <w:rPr>
          <w:rFonts w:ascii="Times New Roman" w:hAnsi="Times New Roman"/>
          <w:sz w:val="24"/>
        </w:rPr>
        <w:t xml:space="preserve"> </w:t>
      </w:r>
      <w:r>
        <w:rPr>
          <w:rFonts w:ascii="Times New Roman" w:hAnsi="Times New Roman"/>
          <w:sz w:val="24"/>
        </w:rPr>
        <w:t xml:space="preserve">untaxed, a factor of four that a COP near 3.5 does not</w:t>
      </w:r>
      <w:r>
        <w:rPr>
          <w:rFonts w:ascii="Times New Roman" w:hAnsi="Times New Roman"/>
          <w:sz w:val="24"/>
        </w:rPr>
        <w:t xml:space="preserve"> </w:t>
      </w:r>
      <w:r>
        <w:rPr>
          <w:rFonts w:ascii="Times New Roman" w:hAnsi="Times New Roman"/>
          <w:sz w:val="24"/>
        </w:rPr>
        <w:t xml:space="preserve">quite close where electricity is dearest. The difference is levies, network charges and</w:t>
      </w:r>
      <w:r>
        <w:rPr>
          <w:rFonts w:ascii="Times New Roman" w:hAnsi="Times New Roman"/>
          <w:sz w:val="24"/>
        </w:rPr>
        <w:t xml:space="preserve"> </w:t>
      </w:r>
      <w:r>
        <w:rPr>
          <w:rFonts w:ascii="Times New Roman" w:hAnsi="Times New Roman"/>
          <w:sz w:val="24"/>
        </w:rPr>
        <w:t xml:space="preserve">taxes, so it records a policy choice about which carrier bears the system’s cost.</w:t>
      </w:r>
    </w:p>
    <w:p>
      <w:pPr>
        <w:pStyle w:val="BodyText"/>
      </w:pPr>
      <w:r>
        <w:rPr>
          <w:rFonts w:ascii="Times New Roman" w:hAnsi="Times New Roman"/>
          <w:sz w:val="24"/>
        </w:rPr>
        <w:t xml:space="preserve">The second is provenance. A detailed assessment of the German heating case concludes the</w:t>
      </w:r>
      <w:r>
        <w:rPr>
          <w:rFonts w:ascii="Times New Roman" w:hAnsi="Times New Roman"/>
          <w:sz w:val="24"/>
        </w:rPr>
        <w:t xml:space="preserve"> </w:t>
      </w:r>
      <w:r>
        <w:rPr>
          <w:rFonts w:ascii="Times New Roman" w:hAnsi="Times New Roman"/>
          <w:sz w:val="24"/>
        </w:rPr>
        <w:t xml:space="preserve">hydrogen realistically supplied to heat would be blue, at about €81/MWh on the blue</w:t>
      </w:r>
      <w:r>
        <w:rPr>
          <w:rFonts w:ascii="Times New Roman" w:hAnsi="Times New Roman"/>
          <w:sz w:val="24"/>
        </w:rPr>
        <w:t xml:space="preserve"> </w:t>
      </w:r>
      <w:r>
        <w:rPr>
          <w:rFonts w:ascii="Times New Roman" w:hAnsi="Times New Roman"/>
          <w:sz w:val="24"/>
        </w:rPr>
        <w:t xml:space="preserve">route we price</w:t>
      </w:r>
      <w:r>
        <w:rPr>
          <w:rFonts w:ascii="Times New Roman" w:hAnsi="Times New Roman"/>
          <w:sz w:val="24"/>
        </w:rPr>
        <w:t xml:space="preserve"> </w:t>
      </w:r>
      <w:r>
        <w:rPr>
          <w:rFonts w:ascii="Times New Roman" w:hAnsi="Times New Roman"/>
          <w:sz w:val="24"/>
        </w:rPr>
        <w:t xml:space="preserve">[61], [62]</w:t>
      </w:r>
      <w:r>
        <w:rPr>
          <w:rFonts w:ascii="Times New Roman" w:hAnsi="Times New Roman"/>
          <w:sz w:val="24"/>
        </w:rPr>
        <w:t xml:space="preserve">, a €31/MWh wedge over the green price and wider than the €30/MWh by which hydrogen leads in Denmark, its widest win. The blue-hydrogen sensitivity is applied in two ways. A uniform €81/MWh price across all markets removes hydrogen’s advantage in all seven green-hydrogen base-load markets. Scaling each country’s green-hydrogen price by the 81/50 ratio instead leaves Denmark as the sole hydrogen win. The third assumption is firm generating capacity. It is not included in the central heat-pump levelised cost, since electrified heat is charged distribution reinforcement but not the firm capacity the same winter evenings call on, which Section 3.4 costs at €51–66/kW-yr annualised. We therefore report three attribution bounds. Allocating firm-generation cost pro rata to heating’s 9.2 per cent share of annual electricity demand costs €1.0–1.3/MWh over the 1</w:t>
      </w:r>
      <w:r>
        <w:rPr>
          <w:rFonts w:ascii="Times New Roman" w:hAnsi="Times New Roman"/>
          <w:sz w:val="24"/>
        </w:rPr>
        <w:t xml:space="preserve">,</w:t>
      </w:r>
      <w:r>
        <w:rPr>
          <w:rFonts w:ascii="Times New Roman" w:hAnsi="Times New Roman"/>
          <w:sz w:val="24"/>
        </w:rPr>
        <w:t xml:space="preserve">273 TWh of heat-pump heat and leaves the heat-pump base-load count at 22 of 29. Allocating the entire peaking fleet to heat-pump load is €11.2–14.5/MWh and takes that count to 17 at the low bound and 15 at the high one. Between the two sits allocation by the change in peaking capacity when heat-pump demand is removed, since a peaking asset is built for a peak. Removing the heat-pump load drops the fleet from 278 to 57 GW, so 79.6 per cent of it</w:t>
      </w:r>
      <w:r>
        <w:rPr>
          <w:rFonts w:ascii="Times New Roman" w:hAnsi="Times New Roman"/>
          <w:sz w:val="24"/>
        </w:rPr>
        <w:t xml:space="preserve"> </w:t>
      </w:r>
      <w:r>
        <w:rPr>
          <w:rFonts w:ascii="Times New Roman" w:hAnsi="Times New Roman"/>
          <w:sz w:val="24"/>
        </w:rPr>
        <w:t xml:space="preserve">exists because heat is electrified, far above heating’s 9.2 per cent share of electricity demand, a gap driven by the collapse in COP at the cold-snap peak. Allocating on that share is €8.9–11.5/MWh and takes the count to 19 at the low bound and 17 at the high one, so the count of 22 holds on the pro-rata allocation alone.</w:t>
      </w:r>
    </w:p>
    <w:p>
      <w:pPr>
        <w:pStyle w:val="BodyText"/>
      </w:pPr>
      <w:r>
        <w:rPr>
          <w:rFonts w:ascii="Times New Roman" w:hAnsi="Times New Roman"/>
          <w:sz w:val="24"/>
        </w:rPr>
        <w:t xml:space="preserve">The last-mile treatment moves the comparison as much. Sweeping it from free reuse of the gas grid to a dedicated new build takes the count at or below parity</w:t>
      </w:r>
      <w:r>
        <w:rPr>
          <w:rFonts w:ascii="Times New Roman" w:hAnsi="Times New Roman"/>
          <w:sz w:val="24"/>
        </w:rPr>
        <w:t xml:space="preserve"> </w:t>
      </w:r>
      <w:r>
        <w:rPr>
          <w:rFonts w:ascii="Times New Roman" w:hAnsi="Times New Roman"/>
          <w:sz w:val="24"/>
        </w:rPr>
        <w:t xml:space="preserve">for hydrogen from 12 to 3, whereas loading the heat pump at the top of the reinforcement</w:t>
      </w:r>
      <w:r>
        <w:rPr>
          <w:rFonts w:ascii="Times New Roman" w:hAnsi="Times New Roman"/>
          <w:sz w:val="24"/>
        </w:rPr>
        <w:t xml:space="preserve"> </w:t>
      </w:r>
      <w:r>
        <w:rPr>
          <w:rFonts w:ascii="Times New Roman" w:hAnsi="Times New Roman"/>
          <w:sz w:val="24"/>
        </w:rPr>
        <w:t xml:space="preserve">band and charging hydrogen nothing leaves heat pumps cheapest in only 10. The base-load ordering is therefore robust to how dear electricity distribution proves, whereas it is fragile to whether hydrogen is charged for distribution at all. The four</w:t>
      </w:r>
      <w:r>
        <w:rPr>
          <w:rFonts w:ascii="Times New Roman" w:hAnsi="Times New Roman"/>
          <w:sz w:val="24"/>
        </w:rPr>
        <w:t xml:space="preserve"> </w:t>
      </w:r>
      <w:r>
        <w:rPr>
          <w:rFonts w:ascii="Times New Roman" w:hAnsi="Times New Roman"/>
          <w:sz w:val="24"/>
        </w:rPr>
        <w:t xml:space="preserve">pathways carry network bills of €249–506 bn cumulated to 2050, and H2 Push’s</w:t>
      </w:r>
      <w:r>
        <w:rPr>
          <w:rFonts w:ascii="Times New Roman" w:hAnsi="Times New Roman"/>
          <w:sz w:val="24"/>
        </w:rPr>
        <w:t xml:space="preserve"> </w:t>
      </w:r>
      <w:r>
        <w:rPr>
          <w:rFonts w:ascii="Times New Roman" w:hAnsi="Times New Roman"/>
          <w:sz w:val="24"/>
        </w:rPr>
        <w:t xml:space="preserve">hydrogen network does not displace the electricity reinforcement it still requires</w:t>
      </w:r>
      <w:r>
        <w:rPr>
          <w:rFonts w:ascii="Times New Roman" w:hAnsi="Times New Roman"/>
          <w:sz w:val="24"/>
        </w:rPr>
        <w:t xml:space="preserve"> </w:t>
      </w:r>
      <w:r>
        <w:rPr>
          <w:rFonts w:ascii="Times New Roman" w:hAnsi="Times New Roman"/>
          <w:sz w:val="24"/>
        </w:rPr>
        <w:t xml:space="preserve">(Supplementary Table S12). The fiscal treatment of electricity is therefore a first-order buildings-policy question.</w:t>
      </w:r>
    </w:p>
    <w:bookmarkStart w:id="30" w:name="fig:lcoh"/>
    <w:p>
      <w:pPr>
        <w:pStyle w:val="CaptionedFigure"/>
        <w:keepNext/>
      </w:pPr>
      <w:r>
        <w:rPr>
          <w:rFonts w:ascii="Times New Roman" w:hAnsi="Times New Roman"/>
          <w:sz w:val="24"/>
        </w:rPr>
        <w:drawing>
          <wp:inline>
            <wp:extent cx="5312228" cy="3203837"/>
            <wp:effectExtent b="0" l="0" r="0" t="0"/>
            <wp:docPr descr="" title="" id="28" name="Picture"/>
            <a:graphic>
              <a:graphicData uri="http://schemas.openxmlformats.org/drawingml/2006/picture">
                <pic:pic>
                  <pic:nvPicPr>
                    <pic:cNvPr descr="P07_lcoh_anatomy.png" id="29" name="Picture"/>
                    <pic:cNvPicPr>
                      <a:picLocks noChangeArrowheads="1" noChangeAspect="1"/>
                    </pic:cNvPicPr>
                  </pic:nvPicPr>
                  <pic:blipFill>
                    <a:blip r:embed="rId27"/>
                    <a:stretch>
                      <a:fillRect/>
                    </a:stretch>
                  </pic:blipFill>
                  <pic:spPr bwMode="auto">
                    <a:xfrm>
                      <a:off x="0" y="0"/>
                      <a:ext cx="5312228" cy="3203837"/>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7" w:name="fig_4"/>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4</w:t>
      </w:r>
      <w:r>
        <w:rPr>
          <w:rFonts w:ascii="Times New Roman" w:hAnsi="Times New Roman" w:cs="Times New Roman"/>
          <w:sz w:val="24"/>
        </w:rPr>
        <w:fldChar w:fldCharType="end"/>
      </w:r>
      <w:bookmarkEnd w:id="1007"/>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Levelised cost of heat by component, 2030 and 2050.</w:t>
      </w:r>
      <w:r>
        <w:rPr>
          <w:rFonts w:ascii="Times New Roman" w:hAnsi="Times New Roman"/>
          <w:sz w:val="24"/>
        </w:rPr>
        <w:t xml:space="preserve"> </w:t>
      </w:r>
      <w:r>
        <w:rPr>
          <w:rFonts w:ascii="Times New Roman" w:hAnsi="Times New Roman"/>
          <w:sz w:val="24"/>
        </w:rPr>
        <w:t xml:space="preserve">The market at</w:t>
      </w:r>
      <w:r>
        <w:rPr>
          <w:rFonts w:ascii="Times New Roman" w:hAnsi="Times New Roman"/>
          <w:sz w:val="24"/>
        </w:rPr>
        <w:t xml:space="preserve"> </w:t>
      </w:r>
      <w:r>
        <w:rPr>
          <w:rFonts w:ascii="Times New Roman" w:hAnsi="Times New Roman"/>
          <w:sz w:val="24"/>
        </w:rPr>
        <w:t xml:space="preserve">the study median for each technology and year, named above its bar. Air-source heat pump.</w:t>
      </w:r>
    </w:p>
    <w:bookmarkEnd w:id="30"/>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the median of 29 markets falls on a market, so each 2050 stack sums to the median reported in the main text. The bars are different markets, so neither the pair nor the distance between two is a trajectory or the study’s median gap, which is the median of the 29 per-country differences. The last band is last-mile network and seasonal store for hydrogen, network reinforcement for the heat pump, nothing for gas. Segments below €11/MWh are unlabelled.</w:t>
      </w:r>
    </w:p>
    <w:bookmarkEnd w:id="31"/>
    <w:bookmarkStart w:id="40" w:name="sec:results:merit"/>
    <w:p>
      <w:pPr>
        <w:pStyle w:val="Heading2"/>
      </w:pPr>
      <w:r>
        <w:rPr>
          <w:rStyle w:val="SectionNumber"/>
          <w:rFonts w:ascii="Times New Roman" w:hAnsi="Times New Roman"/>
          <w:sz w:val="24"/>
        </w:rPr>
        <w:t xml:space="preserve">3.3</w:t>
      </w:r>
      <w:r>
        <w:rPr>
          <w:rFonts w:ascii="Times New Roman" w:hAnsi="Times New Roman"/>
          <w:sz w:val="24"/>
        </w:rPr>
        <w:tab/>
      </w:r>
      <w:r>
        <w:rPr>
          <w:rFonts w:ascii="Times New Roman" w:hAnsi="Times New Roman"/>
          <w:sz w:val="24"/>
        </w:rPr>
        <w:t xml:space="preserve">Power-sector merit order and the cavern markets</w:t>
      </w:r>
    </w:p>
    <w:p>
      <w:pPr>
        <w:pStyle w:val="FirstParagraph"/>
      </w:pP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fig_5 \h </w:instrText>
      </w:r>
      <w:r>
        <w:rPr>
          <w:rFonts w:ascii="Times New Roman" w:hAnsi="Times New Roman" w:cs="Times New Roman"/>
          <w:sz w:val="24"/>
        </w:rPr>
        <w:fldChar w:fldCharType="separate"/>
      </w:r>
      <w:r>
        <w:rPr>
          <w:rFonts w:ascii="Times New Roman" w:hAnsi="Times New Roman" w:cs="Times New Roman"/>
          <w:sz w:val="24"/>
        </w:rPr>
        <w:t xml:space="preserve">5</w:t>
      </w:r>
      <w:r>
        <w:rPr>
          <w:rFonts w:ascii="Times New Roman" w:hAnsi="Times New Roman" w:cs="Times New Roman"/>
          <w:sz w:val="24"/>
        </w:rPr>
        <w:fldChar w:fldCharType="end"/>
      </w:r>
      <w:r>
        <w:rPr>
          <w:rFonts w:ascii="Times New Roman" w:hAnsi="Times New Roman" w:cs="Times New Roman"/>
          <w:sz w:val="24"/>
        </w:rPr>
        <w:t xml:space="preserve"> presents H2 Push merit-order prices for Denmark against the</w:t>
      </w:r>
      <w:r>
        <w:rPr>
          <w:rFonts w:ascii="Times New Roman" w:hAnsi="Times New Roman"/>
          <w:sz w:val="24"/>
        </w:rPr>
        <w:t xml:space="preserve"> </w:t>
      </w:r>
      <w:r>
        <w:rPr>
          <w:rFonts w:ascii="Times New Roman" w:hAnsi="Times New Roman"/>
          <w:sz w:val="24"/>
        </w:rPr>
        <w:t xml:space="preserve">study-area peaking fleet sized on the Stated Policies demand path;</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fig_6 \h </w:instrText>
      </w:r>
      <w:r>
        <w:rPr>
          <w:rFonts w:ascii="Times New Roman" w:hAnsi="Times New Roman" w:cs="Times New Roman"/>
          <w:sz w:val="24"/>
        </w:rPr>
        <w:fldChar w:fldCharType="separate"/>
      </w:r>
      <w:r>
        <w:rPr>
          <w:rFonts w:ascii="Times New Roman" w:hAnsi="Times New Roman" w:cs="Times New Roman"/>
          <w:sz w:val="24"/>
        </w:rPr>
        <w:t xml:space="preserve">6</w:t>
      </w:r>
      <w:r>
        <w:rPr>
          <w:rFonts w:ascii="Times New Roman" w:hAnsi="Times New Roman" w:cs="Times New Roman"/>
          <w:sz w:val="24"/>
        </w:rPr>
        <w:fldChar w:fldCharType="end"/>
      </w:r>
      <w:r>
        <w:rPr>
          <w:rFonts w:ascii="Times New Roman" w:hAnsi="Times New Roman" w:cs="Times New Roman"/>
          <w:sz w:val="24"/>
        </w:rPr>
        <w:t xml:space="preserve"> identifies the markets in which hydrogen undercuts the gas peaker.</w:t>
      </w:r>
      <w:r>
        <w:rPr>
          <w:rFonts w:ascii="Times New Roman" w:hAnsi="Times New Roman"/>
          <w:sz w:val="24"/>
        </w:rPr>
        <w:t xml:space="preserve"> </w:t>
      </w:r>
      <w:r>
        <w:rPr>
          <w:rFonts w:ascii="Times New Roman" w:hAnsi="Times New Roman"/>
          <w:sz w:val="24"/>
        </w:rPr>
        <w:t xml:space="preserve">To test hydrogen as a cold-snap peaker when air-source heat-pump COP declines, we compare</w:t>
      </w:r>
      <w:r>
        <w:rPr>
          <w:rFonts w:ascii="Times New Roman" w:hAnsi="Times New Roman"/>
          <w:sz w:val="24"/>
        </w:rPr>
        <w:t xml:space="preserve"> </w:t>
      </w:r>
      <w:r>
        <w:rPr>
          <w:rFonts w:ascii="Times New Roman" w:hAnsi="Times New Roman"/>
          <w:sz w:val="24"/>
        </w:rPr>
        <w:t xml:space="preserve">its SRMC with the competing unit in the building, district-heat and power-sector peak</w:t>
      </w:r>
      <w:r>
        <w:rPr>
          <w:rFonts w:ascii="Times New Roman" w:hAnsi="Times New Roman"/>
          <w:sz w:val="24"/>
        </w:rPr>
        <w:t xml:space="preserve"> </w:t>
      </w:r>
      <w:r>
        <w:rPr>
          <w:rFonts w:ascii="Times New Roman" w:hAnsi="Times New Roman"/>
          <w:sz w:val="24"/>
        </w:rPr>
        <w:t xml:space="preserve">calculations. The scarcity electricity price the building peak is judged against comes from the power sector’s merit order, averaging €215–307/MWh, a level driven by the high carbon price on the gas unit that sets it.</w:t>
      </w:r>
    </w:p>
    <w:p>
      <w:pPr>
        <w:pStyle w:val="BodyText"/>
      </w:pPr>
      <w:r>
        <w:rPr>
          <w:rFonts w:ascii="Times New Roman" w:hAnsi="Times New Roman"/>
          <w:sz w:val="24"/>
        </w:rPr>
        <w:t xml:space="preserve">On the symmetric accounting used throughout, hydrogen’s win count rises with carbon-pricing ambition in every arena, reaching 14 of 29 countries at the building winter peak, seven in district heating and seven in the power sector under H2 Push. Under the sensitivity excluding hydrogen last-mile distribution and using the residential rather than wholesale gas tariff, the building-winter-peak count becomes 16 and the district-heat-peak count becomes 20.</w:t>
      </w:r>
      <w:r>
        <w:rPr>
          <w:rFonts w:ascii="Times New Roman" w:hAnsi="Times New Roman"/>
          <w:sz w:val="24"/>
        </w:rPr>
        <w:t xml:space="preserve"> </w:t>
      </w:r>
      <w:r>
        <w:rPr>
          <w:rFonts w:ascii="Times New Roman" w:hAnsi="Times New Roman"/>
          <w:sz w:val="24"/>
        </w:rPr>
        <w:t xml:space="preserve">Two levers drive that ordering. Across the first three scenarios the carbon price on the</w:t>
      </w:r>
      <w:r>
        <w:rPr>
          <w:rFonts w:ascii="Times New Roman" w:hAnsi="Times New Roman"/>
          <w:sz w:val="24"/>
        </w:rPr>
        <w:t xml:space="preserve"> </w:t>
      </w:r>
      <w:r>
        <w:rPr>
          <w:rFonts w:ascii="Times New Roman" w:hAnsi="Times New Roman"/>
          <w:sz w:val="24"/>
        </w:rPr>
        <w:t xml:space="preserve">competing gas plant opens the niche, ETS2 at the building peak and the existing power and industry system (ETS1) elsewhere</w:t>
      </w:r>
      <w:r>
        <w:rPr>
          <w:rFonts w:ascii="Times New Roman" w:hAnsi="Times New Roman"/>
          <w:sz w:val="24"/>
        </w:rPr>
        <w:t xml:space="preserve"> </w:t>
      </w:r>
      <w:r>
        <w:rPr>
          <w:rFonts w:ascii="Times New Roman" w:hAnsi="Times New Roman"/>
          <w:sz w:val="24"/>
        </w:rPr>
        <w:t xml:space="preserve">[63]</w:t>
      </w:r>
      <w:r>
        <w:rPr>
          <w:rFonts w:ascii="Times New Roman" w:hAnsi="Times New Roman"/>
          <w:sz w:val="24"/>
        </w:rPr>
        <w:t xml:space="preserve">. H2 Push then shares Net Zero’s carbon path and adds only</w:t>
      </w:r>
      <w:r>
        <w:rPr>
          <w:rFonts w:ascii="Times New Roman" w:hAnsi="Times New Roman"/>
          <w:sz w:val="24"/>
        </w:rPr>
        <w:t xml:space="preserve"> </w:t>
      </w:r>
      <w:r>
        <w:rPr>
          <w:rFonts w:ascii="Times New Roman" w:hAnsi="Times New Roman"/>
          <w:sz w:val="24"/>
        </w:rPr>
        <w:t xml:space="preserve">a faster decline in the hydrogen price, so the fuel lever alone drives that rise, whereas the power arena holds at seven because</w:t>
      </w:r>
      <w:r>
        <w:rPr>
          <w:rFonts w:ascii="Times New Roman" w:hAnsi="Times New Roman"/>
          <w:sz w:val="24"/>
        </w:rPr>
        <w:t xml:space="preserve"> </w:t>
      </w:r>
      <w:r>
        <w:rPr>
          <w:rFonts w:ascii="Times New Roman" w:hAnsi="Times New Roman"/>
          <w:sz w:val="24"/>
        </w:rPr>
        <w:t xml:space="preserve">the two turbines face the same carbon price. Hydrogen’s position is therefore set as much by its rival’s fortunes as by</w:t>
      </w:r>
      <w:r>
        <w:rPr>
          <w:rFonts w:ascii="Times New Roman" w:hAnsi="Times New Roman"/>
          <w:sz w:val="24"/>
        </w:rPr>
        <w:t xml:space="preserve"> </w:t>
      </w:r>
      <w:r>
        <w:rPr>
          <w:rFonts w:ascii="Times New Roman" w:hAnsi="Times New Roman"/>
          <w:sz w:val="24"/>
        </w:rPr>
        <w:t xml:space="preserve">its own.</w:t>
      </w:r>
    </w:p>
    <w:p>
      <w:pPr>
        <w:pStyle w:val="BodyText"/>
      </w:pPr>
      <w:r>
        <w:rPr>
          <w:rFonts w:ascii="Times New Roman" w:hAnsi="Times New Roman"/>
          <w:sz w:val="24"/>
        </w:rPr>
        <w:t xml:space="preserve">Waste heat sits at the bottom of the district-heat merit order at about €10/MWh, so a gas combined-heat-and-power plant is marginal on a cold day in 20 of the 29 networks, capping the arena at 20, and hydrogen undercuts it in seven of those.</w:t>
      </w:r>
      <w:r>
        <w:rPr>
          <w:rFonts w:ascii="Times New Roman" w:hAnsi="Times New Roman"/>
          <w:sz w:val="24"/>
        </w:rPr>
        <w:t xml:space="preserve"> </w:t>
      </w:r>
      <w:r>
        <w:rPr>
          <w:rFonts w:ascii="Times New Roman" w:hAnsi="Times New Roman"/>
          <w:sz w:val="24"/>
        </w:rPr>
        <w:t xml:space="preserve">Charging both alike means gas enters at the €30/MWh</w:t>
      </w:r>
      <w:r>
        <w:rPr>
          <w:rFonts w:ascii="Times New Roman" w:hAnsi="Times New Roman"/>
          <w:sz w:val="24"/>
        </w:rPr>
        <w:t xml:space="preserve"> </w:t>
      </w:r>
      <w:r>
        <w:rPr>
          <w:rFonts w:ascii="Times New Roman" w:hAnsi="Times New Roman"/>
          <w:sz w:val="24"/>
        </w:rPr>
        <w:t xml:space="preserve">wholesale hub price the district-heat operator actually pays and hydrogen carries its own</w:t>
      </w:r>
      <w:r>
        <w:rPr>
          <w:rFonts w:ascii="Times New Roman" w:hAnsi="Times New Roman"/>
          <w:sz w:val="24"/>
        </w:rPr>
        <w:t xml:space="preserve"> </w:t>
      </w:r>
      <w:r>
        <w:rPr>
          <w:rFonts w:ascii="Times New Roman" w:hAnsi="Times New Roman"/>
          <w:sz w:val="24"/>
        </w:rPr>
        <w:t xml:space="preserve">€13.4/MWh median last-mile adder at the building peak. By contrast, pricing gas at the Eurostat residential retail tariff and charging hydrogen no last-mile network raises the building-peak count from 14 to 16 and the district-heat count from 7 to 20. The slice is thin either way, the</w:t>
      </w:r>
      <w:r>
        <w:rPr>
          <w:rFonts w:ascii="Times New Roman" w:hAnsi="Times New Roman"/>
          <w:sz w:val="24"/>
        </w:rPr>
        <w:t xml:space="preserve"> </w:t>
      </w:r>
      <w:r>
        <w:rPr>
          <w:rFonts w:ascii="Times New Roman" w:hAnsi="Times New Roman"/>
          <w:sz w:val="24"/>
        </w:rPr>
        <w:t xml:space="preserve">top 12–18 per cent of the load over 2</w:t>
      </w:r>
      <w:r>
        <w:rPr>
          <w:rFonts w:ascii="Times New Roman" w:hAnsi="Times New Roman"/>
          <w:sz w:val="24"/>
        </w:rPr>
        <w:t xml:space="preserve">,</w:t>
      </w:r>
      <w:r>
        <w:rPr>
          <w:rFonts w:ascii="Times New Roman" w:hAnsi="Times New Roman"/>
          <w:sz w:val="24"/>
        </w:rPr>
        <w:t xml:space="preserve">000 hours at about 518 equivalent full-load</w:t>
      </w:r>
      <w:r>
        <w:rPr>
          <w:rFonts w:ascii="Times New Roman" w:hAnsi="Times New Roman"/>
          <w:sz w:val="24"/>
        </w:rPr>
        <w:t xml:space="preserve"> </w:t>
      </w:r>
      <w:r>
        <w:rPr>
          <w:rFonts w:ascii="Times New Roman" w:hAnsi="Times New Roman"/>
          <w:sz w:val="24"/>
        </w:rPr>
        <w:t xml:space="preserve">hours, so sweeping all 20 is about 3 per cent of residential</w:t>
      </w:r>
      <w:r>
        <w:rPr>
          <w:rFonts w:ascii="Times New Roman" w:hAnsi="Times New Roman"/>
          <w:sz w:val="24"/>
        </w:rPr>
        <w:t xml:space="preserve"> </w:t>
      </w:r>
      <w:r>
        <w:rPr>
          <w:rFonts w:ascii="Times New Roman" w:hAnsi="Times New Roman"/>
          <w:sz w:val="24"/>
        </w:rPr>
        <w:t xml:space="preserve">heat (Supplementary Section S2.3).</w:t>
      </w:r>
      <w:r>
        <w:rPr>
          <w:rFonts w:ascii="Times New Roman" w:hAnsi="Times New Roman"/>
          <w:sz w:val="24"/>
        </w:rPr>
        <w:t xml:space="preserve"> </w:t>
      </w:r>
      <w:r>
        <w:rPr>
          <w:rFonts w:ascii="Times New Roman" w:hAnsi="Times New Roman"/>
          <w:sz w:val="24"/>
        </w:rPr>
        <w:t xml:space="preserve">Weighting each country’s building-peak slice by its heat demand gives dispatch-supported potentials of 0, 0.6, 7.5 and 9.0 per cent of study-area residential heat under the four scenarios respectively. These are compared with, rather than imposed on, the exogenous adoption settings of 0, 5, 3 and 8 per cent. The largest mismatch is under Stated Policies, whose setting exceeds its dispatch-supported potential by 4.4 percentage points, compared with 0, 5.1, 7.9 and 9.3 under the sensitivity excluding hydrogen last-mile distribution and using the residential rather than wholesale gas tariff.</w:t>
      </w:r>
    </w:p>
    <w:p>
      <w:pPr>
        <w:pStyle w:val="BodyText"/>
      </w:pPr>
      <w:r>
        <w:rPr>
          <w:rFonts w:ascii="Times New Roman" w:hAnsi="Times New Roman"/>
          <w:sz w:val="24"/>
        </w:rPr>
        <w:t xml:space="preserve">The model prices the marginal dispatchable units using literature-based short-run costs</w:t>
      </w:r>
      <w:r>
        <w:rPr>
          <w:rFonts w:ascii="Times New Roman" w:hAnsi="Times New Roman"/>
          <w:sz w:val="24"/>
        </w:rPr>
        <w:t xml:space="preserve"> </w:t>
      </w:r>
      <w:r>
        <w:rPr>
          <w:rFonts w:ascii="Times New Roman" w:hAnsi="Times New Roman"/>
          <w:sz w:val="24"/>
        </w:rPr>
        <w:t xml:space="preserve">for the technologies below them in the merit order. The medians quoted here are H2 Push,</w:t>
      </w:r>
      <w:r>
        <w:rPr>
          <w:rFonts w:ascii="Times New Roman" w:hAnsi="Times New Roman"/>
          <w:sz w:val="24"/>
        </w:rPr>
        <w:t xml:space="preserve"> </w:t>
      </w:r>
      <w:r>
        <w:rPr>
          <w:rFonts w:ascii="Times New Roman" w:hAnsi="Times New Roman"/>
          <w:sz w:val="24"/>
        </w:rPr>
        <w:t xml:space="preserve">and Net Zero holds the same ordering with a narrower cavern advantage. Under the</w:t>
      </w:r>
      <w:r>
        <w:rPr>
          <w:rFonts w:ascii="Times New Roman" w:hAnsi="Times New Roman"/>
          <w:sz w:val="24"/>
        </w:rPr>
        <w:t xml:space="preserve"> </w:t>
      </w:r>
      <w:r>
        <w:rPr>
          <w:rFonts w:ascii="Times New Roman" w:hAnsi="Times New Roman"/>
          <w:sz w:val="24"/>
        </w:rPr>
        <w:t xml:space="preserve">equal-efficiency series used for the headline winner count, the hydrogen turbine’s</w:t>
      </w:r>
      <w:r>
        <w:rPr>
          <w:rFonts w:ascii="Times New Roman" w:hAnsi="Times New Roman"/>
          <w:sz w:val="24"/>
        </w:rPr>
        <w:t xml:space="preserve"> </w:t>
      </w:r>
      <w:r>
        <w:rPr>
          <w:rFonts w:ascii="Times New Roman" w:hAnsi="Times New Roman"/>
          <w:sz w:val="24"/>
        </w:rPr>
        <w:t xml:space="preserve">cross-country median is about €286/MWh-e, approximately €30/MWh-e above the</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carbon-priced gas peaker at €256/MWh-e (Eq. (</w:t>
      </w:r>
      <w:r>
        <w:rPr>
          <w:rFonts w:ascii="Times New Roman" w:hAnsi="Times New Roman" w:cs="Times New Roman"/>
          <w:sz w:val="24"/>
        </w:rPr>
        <w:fldChar w:fldCharType="begin"/>
      </w:r>
      <w:r>
        <w:rPr>
          <w:rFonts w:ascii="Times New Roman" w:hAnsi="Times New Roman" w:cs="Times New Roman"/>
          <w:sz w:val="24"/>
        </w:rPr>
        <w:instrText xml:space="preserve"> REF eq_1 \h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Fig. </w:t>
      </w:r>
      <w:r>
        <w:rPr>
          <w:rFonts w:ascii="Times New Roman" w:hAnsi="Times New Roman" w:cs="Times New Roman"/>
          <w:sz w:val="24"/>
        </w:rPr>
        <w:fldChar w:fldCharType="begin"/>
      </w:r>
      <w:r>
        <w:rPr>
          <w:rFonts w:ascii="Times New Roman" w:hAnsi="Times New Roman" w:cs="Times New Roman"/>
          <w:sz w:val="24"/>
        </w:rPr>
        <w:instrText xml:space="preserve"> REF fig_5 \h </w:instrText>
      </w:r>
      <w:r>
        <w:rPr>
          <w:rFonts w:ascii="Times New Roman" w:hAnsi="Times New Roman" w:cs="Times New Roman"/>
          <w:sz w:val="24"/>
        </w:rPr>
        <w:fldChar w:fldCharType="separate"/>
      </w:r>
      <w:r>
        <w:rPr>
          <w:rFonts w:ascii="Times New Roman" w:hAnsi="Times New Roman" w:cs="Times New Roman"/>
          <w:sz w:val="24"/>
        </w:rPr>
        <w:t xml:space="preserve">5</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sz w:val="24"/>
        </w:rPr>
        <w:t xml:space="preserve">Gas is therefore the cheaper firm unit in the typical market. Both turbines are evaluated</w:t>
      </w:r>
      <w:r>
        <w:rPr>
          <w:rFonts w:ascii="Times New Roman" w:hAnsi="Times New Roman"/>
          <w:sz w:val="24"/>
        </w:rPr>
        <w:t xml:space="preserve"> </w:t>
      </w:r>
      <w:r>
        <w:rPr>
          <w:rFonts w:ascii="Times New Roman" w:hAnsi="Times New Roman"/>
          <w:sz w:val="24"/>
        </w:rPr>
        <w:t xml:space="preserve">on the high-carbon path. On the central carbon path, the gas peaker is about</w:t>
      </w:r>
      <w:r>
        <w:rPr>
          <w:rFonts w:ascii="Times New Roman" w:hAnsi="Times New Roman"/>
          <w:sz w:val="24"/>
        </w:rPr>
        <w:t xml:space="preserve"> </w:t>
      </w:r>
      <w:r>
        <w:rPr>
          <w:rFonts w:ascii="Times New Roman" w:hAnsi="Times New Roman"/>
          <w:sz w:val="24"/>
        </w:rPr>
        <w:t xml:space="preserve">€181/MWh-e and the cavern advantage narrows to a few euros, so the headline winner</w:t>
      </w:r>
      <w:r>
        <w:rPr>
          <w:rFonts w:ascii="Times New Roman" w:hAnsi="Times New Roman"/>
          <w:sz w:val="24"/>
        </w:rPr>
        <w:t xml:space="preserve"> </w:t>
      </w:r>
      <w:r>
        <w:rPr>
          <w:rFonts w:ascii="Times New Roman" w:hAnsi="Times New Roman"/>
          <w:sz w:val="24"/>
        </w:rPr>
        <w:t xml:space="preserve">count is conditional on the carbon path, whereas the base-load ordering is not</w:t>
      </w:r>
      <w:r>
        <w:rPr>
          <w:rFonts w:ascii="Times New Roman" w:hAnsi="Times New Roman"/>
          <w:sz w:val="24"/>
        </w:rPr>
        <w:t xml:space="preserve"> </w:t>
      </w:r>
      <w:r>
        <w:rPr>
          <w:rFonts w:ascii="Times New Roman" w:hAnsi="Times New Roman"/>
          <w:sz w:val="24"/>
        </w:rPr>
        <w:t xml:space="preserve">(Supplementary Section S1.3). Under the evolving-efficiency sensitivity, hydrogen</w:t>
      </w:r>
      <w:r>
        <w:rPr>
          <w:rFonts w:ascii="Times New Roman" w:hAnsi="Times New Roman"/>
          <w:sz w:val="24"/>
        </w:rPr>
        <w:t xml:space="preserve"> </w:t>
      </w:r>
      <w:r>
        <w:rPr>
          <w:rFonts w:ascii="Times New Roman" w:hAnsi="Times New Roman"/>
          <w:sz w:val="24"/>
        </w:rPr>
        <w:t xml:space="preserve">receives the higher assumed turbine efficiency; the hydrogen and gas medians converge to</w:t>
      </w:r>
      <w:r>
        <w:rPr>
          <w:rFonts w:ascii="Times New Roman" w:hAnsi="Times New Roman"/>
          <w:sz w:val="24"/>
        </w:rPr>
        <w:t xml:space="preserve"> </w:t>
      </w:r>
      <w:r>
        <w:rPr>
          <w:rFonts w:ascii="Times New Roman" w:hAnsi="Times New Roman"/>
          <w:sz w:val="24"/>
        </w:rPr>
        <w:t xml:space="preserve">approximately €238 and €239/MWh-e, respectively, and the hydrogen winner count</w:t>
      </w:r>
      <w:r>
        <w:rPr>
          <w:rFonts w:ascii="Times New Roman" w:hAnsi="Times New Roman"/>
          <w:sz w:val="24"/>
        </w:rPr>
        <w:t xml:space="preserve"> </w:t>
      </w:r>
      <w:r>
        <w:rPr>
          <w:rFonts w:ascii="Times New Roman" w:hAnsi="Times New Roman"/>
          <w:sz w:val="24"/>
        </w:rPr>
        <w:t xml:space="preserve">rises to 15, or eight without the backbone discount, and is no longer confined to cavern</w:t>
      </w:r>
      <w:r>
        <w:rPr>
          <w:rFonts w:ascii="Times New Roman" w:hAnsi="Times New Roman"/>
          <w:sz w:val="24"/>
        </w:rPr>
        <w:t xml:space="preserve"> </w:t>
      </w:r>
      <w:r>
        <w:rPr>
          <w:rFonts w:ascii="Times New Roman" w:hAnsi="Times New Roman"/>
          <w:sz w:val="24"/>
        </w:rPr>
        <w:t xml:space="preserve">geology. Capital recovery is evaluated separately under the evolving-efficiency</w:t>
      </w:r>
      <w:r>
        <w:rPr>
          <w:rFonts w:ascii="Times New Roman" w:hAnsi="Times New Roman"/>
          <w:sz w:val="24"/>
        </w:rPr>
        <w:t xml:space="preserve"> </w:t>
      </w:r>
      <w:r>
        <w:rPr>
          <w:rFonts w:ascii="Times New Roman" w:hAnsi="Times New Roman"/>
          <w:sz w:val="24"/>
        </w:rPr>
        <w:t xml:space="preserve">assumptions for the five of the seven headline cavern markets that build peaking capacity.</w:t>
      </w:r>
      <w:r>
        <w:rPr>
          <w:rFonts w:ascii="Times New Roman" w:hAnsi="Times New Roman"/>
          <w:sz w:val="24"/>
        </w:rPr>
        <w:t xml:space="preserve"> </w:t>
      </w:r>
      <w:r>
        <w:rPr>
          <w:rFonts w:ascii="Times New Roman" w:hAnsi="Times New Roman"/>
          <w:sz w:val="24"/>
        </w:rPr>
        <w:t xml:space="preserve">The seven-market headline dispatch count and the capital-recovery ratios therefore address</w:t>
      </w:r>
      <w:r>
        <w:rPr>
          <w:rFonts w:ascii="Times New Roman" w:hAnsi="Times New Roman"/>
          <w:sz w:val="24"/>
        </w:rPr>
        <w:t xml:space="preserve"> </w:t>
      </w:r>
      <w:r>
        <w:rPr>
          <w:rFonts w:ascii="Times New Roman" w:hAnsi="Times New Roman"/>
          <w:sz w:val="24"/>
        </w:rPr>
        <w:t xml:space="preserve">different questions. In the seven headline cavern markets, the hydrogen turbine costs</w:t>
      </w:r>
      <w:r>
        <w:rPr>
          <w:rFonts w:ascii="Times New Roman" w:hAnsi="Times New Roman"/>
          <w:sz w:val="24"/>
        </w:rPr>
        <w:t xml:space="preserve"> </w:t>
      </w:r>
      <w:r>
        <w:rPr>
          <w:rFonts w:ascii="Times New Roman" w:hAnsi="Times New Roman"/>
          <w:sz w:val="24"/>
        </w:rPr>
        <w:t xml:space="preserve">€168–184/MWh-e, €72–89/MWh-e below the gas peaker; across the 22 non-cavern</w:t>
      </w:r>
      <w:r>
        <w:rPr>
          <w:rFonts w:ascii="Times New Roman" w:hAnsi="Times New Roman"/>
          <w:sz w:val="24"/>
        </w:rPr>
        <w:t xml:space="preserve"> </w:t>
      </w:r>
      <w:r>
        <w:rPr>
          <w:rFonts w:ascii="Times New Roman" w:hAnsi="Times New Roman"/>
          <w:sz w:val="24"/>
        </w:rPr>
        <w:t xml:space="preserve">markets it is approximately €36/MWh-e more expensive.</w:t>
      </w:r>
    </w:p>
    <w:bookmarkStart w:id="35" w:name="fig:merit"/>
    <w:p>
      <w:pPr>
        <w:pStyle w:val="CaptionedFigure"/>
        <w:keepNext/>
      </w:pPr>
      <w:r>
        <w:rPr>
          <w:rFonts w:ascii="Times New Roman" w:hAnsi="Times New Roman"/>
          <w:sz w:val="24"/>
        </w:rPr>
        <w:drawing>
          <wp:inline>
            <wp:extent cx="5213684" cy="3533846"/>
            <wp:effectExtent b="0" l="0" r="0" t="0"/>
            <wp:docPr descr="" title="" id="33" name="Picture"/>
            <a:graphic>
              <a:graphicData uri="http://schemas.openxmlformats.org/drawingml/2006/picture">
                <pic:pic>
                  <pic:nvPicPr>
                    <pic:cNvPr descr="P26_merit_order.png" id="34" name="Picture"/>
                    <pic:cNvPicPr>
                      <a:picLocks noChangeArrowheads="1" noChangeAspect="1"/>
                    </pic:cNvPicPr>
                  </pic:nvPicPr>
                  <pic:blipFill>
                    <a:blip r:embed="rId32"/>
                    <a:stretch>
                      <a:fillRect/>
                    </a:stretch>
                  </pic:blipFill>
                  <pic:spPr bwMode="auto">
                    <a:xfrm>
                      <a:off x="0" y="0"/>
                      <a:ext cx="5213684" cy="3533846"/>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8" w:name="fig_5"/>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5</w:t>
      </w:r>
      <w:r>
        <w:rPr>
          <w:rFonts w:ascii="Times New Roman" w:hAnsi="Times New Roman" w:cs="Times New Roman"/>
          <w:sz w:val="24"/>
        </w:rPr>
        <w:fldChar w:fldCharType="end"/>
      </w:r>
      <w:bookmarkEnd w:id="1008"/>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2050 Denmark merit-order prices under H2 Push, shown against the study-area peaking fleet sized on the Stated Policies demand path.</w:t>
      </w:r>
      <w:r>
        <w:rPr>
          <w:rFonts w:ascii="Times New Roman" w:hAnsi="Times New Roman"/>
          <w:sz w:val="24"/>
        </w:rPr>
        <w:t xml:space="preserve"> </w:t>
      </w:r>
      <w:r>
        <w:rPr>
          <w:rFonts w:ascii="Times New Roman" w:hAnsi="Times New Roman"/>
          <w:sz w:val="24"/>
        </w:rPr>
        <w:t xml:space="preserve">Costs are country-specific; capacities are study-area totals. Short-run marginal cost includes fuel and carbon but excludes capital cost. The headline comparison uses equal turbine efficiencies.</w:t>
      </w:r>
    </w:p>
    <w:bookmarkEnd w:id="35"/>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the evolving-efficiency sensitivity puts the two machines at €142 and €241/MWh-e, a different comparison from the medians above. Hydro carries no capacity figure because only a whole-fleet series is available. Omitted from the bars are 3 GW of coal, 421 GW of batteries and 195 GW of combined cycle. Batteries deplete over a multi-day event, so only the combined cycle counts as sustained firm capacity (Supplementary Section S2.4). Dispatchable capacities are model output.</w:t>
      </w:r>
    </w:p>
    <w:p>
      <w:pPr>
        <w:pStyle w:val="BodyText"/>
      </w:pPr>
      <w:r>
        <w:rPr>
          <w:rFonts w:ascii="Times New Roman" w:hAnsi="Times New Roman"/>
          <w:sz w:val="24"/>
        </w:rPr>
        <w:t xml:space="preserve">The seven winning markets are the salt-cavern countries, in descending advantage Denmark,</w:t>
      </w:r>
      <w:r>
        <w:rPr>
          <w:rFonts w:ascii="Times New Roman" w:hAnsi="Times New Roman"/>
          <w:sz w:val="24"/>
        </w:rPr>
        <w:t xml:space="preserve"> </w:t>
      </w:r>
      <w:r>
        <w:rPr>
          <w:rFonts w:ascii="Times New Roman" w:hAnsi="Times New Roman"/>
          <w:sz w:val="24"/>
        </w:rPr>
        <w:t xml:space="preserve">the United Kingdom, the Netherlands, Romania and Poland, followed by France and Germany,</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which are tied (Fig. </w:t>
      </w:r>
      <w:r>
        <w:rPr>
          <w:rFonts w:ascii="Times New Roman" w:hAnsi="Times New Roman" w:cs="Times New Roman"/>
          <w:sz w:val="24"/>
        </w:rPr>
        <w:fldChar w:fldCharType="begin"/>
      </w:r>
      <w:r>
        <w:rPr>
          <w:rFonts w:ascii="Times New Roman" w:hAnsi="Times New Roman" w:cs="Times New Roman"/>
          <w:sz w:val="24"/>
        </w:rPr>
        <w:instrText xml:space="preserve"> REF fig_6 \h </w:instrText>
      </w:r>
      <w:r>
        <w:rPr>
          <w:rFonts w:ascii="Times New Roman" w:hAnsi="Times New Roman" w:cs="Times New Roman"/>
          <w:sz w:val="24"/>
        </w:rPr>
        <w:fldChar w:fldCharType="separate"/>
      </w:r>
      <w:r>
        <w:rPr>
          <w:rFonts w:ascii="Times New Roman" w:hAnsi="Times New Roman" w:cs="Times New Roman"/>
          <w:sz w:val="24"/>
        </w:rPr>
        <w:t xml:space="preserve">6</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They are not the seven markets in which hydrogen</w:t>
      </w:r>
      <w:r>
        <w:rPr>
          <w:rFonts w:ascii="Times New Roman" w:hAnsi="Times New Roman"/>
          <w:sz w:val="24"/>
        </w:rPr>
        <w:t xml:space="preserve"> </w:t>
      </w:r>
      <w:r>
        <w:rPr>
          <w:rFonts w:ascii="Times New Roman" w:hAnsi="Times New Roman"/>
          <w:sz w:val="24"/>
        </w:rPr>
        <w:t xml:space="preserve">wins the base-load comparison. Belgium and</w:t>
      </w:r>
      <w:r>
        <w:rPr>
          <w:rFonts w:ascii="Times New Roman" w:hAnsi="Times New Roman"/>
          <w:sz w:val="24"/>
        </w:rPr>
        <w:t xml:space="preserve"> </w:t>
      </w:r>
      <w:r>
        <w:rPr>
          <w:rFonts w:ascii="Times New Roman" w:hAnsi="Times New Roman"/>
          <w:sz w:val="24"/>
        </w:rPr>
        <w:t xml:space="preserve">Ireland hold base load without the power peak and France and Romania the reverse, because</w:t>
      </w:r>
      <w:r>
        <w:rPr>
          <w:rFonts w:ascii="Times New Roman" w:hAnsi="Times New Roman"/>
          <w:sz w:val="24"/>
        </w:rPr>
        <w:t xml:space="preserve"> </w:t>
      </w:r>
      <w:r>
        <w:rPr>
          <w:rFonts w:ascii="Times New Roman" w:hAnsi="Times New Roman"/>
          <w:sz w:val="24"/>
        </w:rPr>
        <w:t xml:space="preserve">retail prices decide part of the base-load set and geology alone the peaking one. The mechanism is the seasonal-storage adder of Section 2</w:t>
      </w:r>
      <w:r>
        <w:rPr>
          <w:rFonts w:ascii="Times New Roman" w:hAnsi="Times New Roman"/>
          <w:sz w:val="24"/>
        </w:rPr>
        <w:t xml:space="preserve"> </w:t>
      </w:r>
      <w:r>
        <w:rPr>
          <w:rFonts w:ascii="Times New Roman" w:hAnsi="Times New Roman"/>
          <w:sz w:val="24"/>
        </w:rPr>
        <w:t xml:space="preserve">[56]</w:t>
      </w:r>
      <w:r>
        <w:rPr>
          <w:rFonts w:ascii="Times New Roman" w:hAnsi="Times New Roman"/>
          <w:sz w:val="24"/>
        </w:rPr>
        <w:t xml:space="preserve">. Of the two exogenous adders only storage moves the count, since the premium cancels between</w:t>
      </w:r>
      <w:r>
        <w:rPr>
          <w:rFonts w:ascii="Times New Roman" w:hAnsi="Times New Roman"/>
          <w:sz w:val="24"/>
        </w:rPr>
        <w:t xml:space="preserve"> </w:t>
      </w:r>
      <w:r>
        <w:rPr>
          <w:rFonts w:ascii="Times New Roman" w:hAnsi="Times New Roman"/>
          <w:sz w:val="24"/>
        </w:rPr>
        <w:t xml:space="preserve">the turbines. The count holds at seven across about €50 to</w:t>
      </w:r>
      <w:r>
        <w:rPr>
          <w:rFonts w:ascii="Times New Roman" w:hAnsi="Times New Roman"/>
          <w:sz w:val="24"/>
        </w:rPr>
        <w:t xml:space="preserve"> </w:t>
      </w:r>
      <w:r>
        <w:rPr>
          <w:rFonts w:ascii="Times New Roman" w:hAnsi="Times New Roman"/>
          <w:sz w:val="24"/>
        </w:rPr>
        <w:t xml:space="preserve">75/MWh-heat of storage, reaching every market only at €38 and under. The winning set is that two-value geology classification exactly, so the seven is</w:t>
      </w:r>
      <w:r>
        <w:rPr>
          <w:rFonts w:ascii="Times New Roman" w:hAnsi="Times New Roman"/>
          <w:sz w:val="24"/>
        </w:rPr>
        <w:t xml:space="preserve"> </w:t>
      </w:r>
      <w:r>
        <w:rPr>
          <w:rFonts w:ascii="Times New Roman" w:hAnsi="Times New Roman"/>
          <w:sz w:val="24"/>
        </w:rPr>
        <w:t xml:space="preserve">conditional on it. Alternative cavern classifications move it, since including Iberia</w:t>
      </w:r>
      <w:r>
        <w:rPr>
          <w:rFonts w:ascii="Times New Roman" w:hAnsi="Times New Roman"/>
          <w:sz w:val="24"/>
        </w:rPr>
        <w:t xml:space="preserve"> </w:t>
      </w:r>
      <w:r>
        <w:rPr>
          <w:rFonts w:ascii="Times New Roman" w:hAnsi="Times New Roman"/>
          <w:sz w:val="24"/>
        </w:rPr>
        <w:t xml:space="preserve">gives nine and restricting France to its northern basins six. Provenance moves it</w:t>
      </w:r>
      <w:r>
        <w:rPr>
          <w:rFonts w:ascii="Times New Roman" w:hAnsi="Times New Roman"/>
          <w:sz w:val="24"/>
        </w:rPr>
        <w:t xml:space="preserve"> </w:t>
      </w:r>
      <w:r>
        <w:rPr>
          <w:rFonts w:ascii="Times New Roman" w:hAnsi="Times New Roman"/>
          <w:sz w:val="24"/>
        </w:rPr>
        <w:t xml:space="preserve">further. With a uniform blue-hydrogen price of €81/MWh across Europe, the turbine</w:t>
      </w:r>
      <w:r>
        <w:rPr>
          <w:rFonts w:ascii="Times New Roman" w:hAnsi="Times New Roman"/>
          <w:sz w:val="24"/>
        </w:rPr>
        <w:t xml:space="preserve"> </w:t>
      </w:r>
      <w:r>
        <w:rPr>
          <w:rFonts w:ascii="Times New Roman" w:hAnsi="Times New Roman"/>
          <w:sz w:val="24"/>
        </w:rPr>
        <w:t xml:space="preserve">reaches €289/MWh-e and all seven headline power-sector wins reverse. Scaling each</w:t>
      </w:r>
      <w:r>
        <w:rPr>
          <w:rFonts w:ascii="Times New Roman" w:hAnsi="Times New Roman"/>
          <w:sz w:val="24"/>
        </w:rPr>
        <w:t xml:space="preserve"> </w:t>
      </w:r>
      <w:r>
        <w:rPr>
          <w:rFonts w:ascii="Times New Roman" w:hAnsi="Times New Roman"/>
          <w:sz w:val="24"/>
        </w:rPr>
        <w:t xml:space="preserve">country’s green-hydrogen price by the 81/50 ratio instead preserves hydrogen advantages</w:t>
      </w:r>
      <w:r>
        <w:rPr>
          <w:rFonts w:ascii="Times New Roman" w:hAnsi="Times New Roman"/>
          <w:sz w:val="24"/>
        </w:rPr>
        <w:t xml:space="preserve"> </w:t>
      </w:r>
      <w:r>
        <w:rPr>
          <w:rFonts w:ascii="Times New Roman" w:hAnsi="Times New Roman"/>
          <w:sz w:val="24"/>
        </w:rPr>
        <w:t xml:space="preserve">of €30–57/MWh-e in those seven markets (Supplementary Section S1.3).</w:t>
      </w:r>
    </w:p>
    <w:p>
      <w:pPr>
        <w:pStyle w:val="BodyText"/>
      </w:pPr>
      <w:r>
        <w:rPr>
          <w:rFonts w:ascii="Times New Roman" w:hAnsi="Times New Roman"/>
          <w:sz w:val="24"/>
        </w:rPr>
        <w:t xml:space="preserve">Both the base-load and the peaking verdicts turn on the cost of storing the molecule between seasons, the peaking one</w:t>
      </w:r>
      <w:r>
        <w:rPr>
          <w:rFonts w:ascii="Times New Roman" w:hAnsi="Times New Roman"/>
          <w:sz w:val="24"/>
        </w:rPr>
        <w:t xml:space="preserve"> </w:t>
      </w:r>
      <w:r>
        <w:rPr>
          <w:rFonts w:ascii="Times New Roman" w:hAnsi="Times New Roman"/>
          <w:sz w:val="24"/>
        </w:rPr>
        <w:t xml:space="preserve">on endowment and the base-load one partly on tax incidence. However, at the central scarcity margin the peaking win covers only about 9 per cent of the plant’s annualised capital charge, because it runs about 139 hours a year.</w:t>
      </w:r>
    </w:p>
    <w:bookmarkStart w:id="39" w:name="fig:cavern"/>
    <w:p>
      <w:pPr>
        <w:pStyle w:val="CaptionedFigure"/>
        <w:keepNext/>
      </w:pPr>
      <w:r>
        <w:rPr>
          <w:rFonts w:ascii="Times New Roman" w:hAnsi="Times New Roman"/>
          <w:sz w:val="24"/>
        </w:rPr>
        <w:drawing>
          <wp:inline>
            <wp:extent cx="4810339" cy="2915079"/>
            <wp:effectExtent b="0" l="0" r="0" t="0"/>
            <wp:docPr descr="" title="" id="37" name="Picture"/>
            <a:graphic>
              <a:graphicData uri="http://schemas.openxmlformats.org/drawingml/2006/picture">
                <pic:pic>
                  <pic:nvPicPr>
                    <pic:cNvPr descr="P33_cavern_markets.png" id="38" name="Picture"/>
                    <pic:cNvPicPr>
                      <a:picLocks noChangeArrowheads="1" noChangeAspect="1"/>
                    </pic:cNvPicPr>
                  </pic:nvPicPr>
                  <pic:blipFill>
                    <a:blip r:embed="rId36"/>
                    <a:stretch>
                      <a:fillRect/>
                    </a:stretch>
                  </pic:blipFill>
                  <pic:spPr bwMode="auto">
                    <a:xfrm>
                      <a:off x="0" y="0"/>
                      <a:ext cx="4810339" cy="2915079"/>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9" w:name="fig_6"/>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6</w:t>
      </w:r>
      <w:r>
        <w:rPr>
          <w:rFonts w:ascii="Times New Roman" w:hAnsi="Times New Roman" w:cs="Times New Roman"/>
          <w:sz w:val="24"/>
        </w:rPr>
        <w:fldChar w:fldCharType="end"/>
      </w:r>
      <w:bookmarkEnd w:id="1009"/>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Where hydrogen undercuts the gas peaker, H2 Push 2050.</w:t>
      </w:r>
      <w:r>
        <w:rPr>
          <w:rFonts w:ascii="Times New Roman" w:hAnsi="Times New Roman"/>
          <w:sz w:val="24"/>
        </w:rPr>
        <w:t xml:space="preserve"> </w:t>
      </w:r>
      <w:r>
        <w:rPr>
          <w:rFonts w:ascii="Times New Roman" w:hAnsi="Times New Roman"/>
          <w:sz w:val="24"/>
        </w:rPr>
        <w:t xml:space="preserve">The seven</w:t>
      </w:r>
      <w:r>
        <w:rPr>
          <w:rFonts w:ascii="Times New Roman" w:hAnsi="Times New Roman"/>
          <w:sz w:val="24"/>
        </w:rPr>
        <w:t xml:space="preserve"> </w:t>
      </w:r>
      <w:r>
        <w:rPr>
          <w:rFonts w:ascii="Times New Roman" w:hAnsi="Times New Roman"/>
          <w:sz w:val="24"/>
        </w:rPr>
        <w:t xml:space="preserve">salt-cavern markets, on the equal-efficiency series. The green row above the frame is</w:t>
      </w:r>
      <w:r>
        <w:rPr>
          <w:rFonts w:ascii="Times New Roman" w:hAnsi="Times New Roman"/>
          <w:sz w:val="24"/>
        </w:rPr>
        <w:t xml:space="preserve"> </w:t>
      </w:r>
      <w:r>
        <w:rPr>
          <w:rFonts w:ascii="Times New Roman" w:hAnsi="Times New Roman"/>
          <w:sz w:val="24"/>
        </w:rPr>
        <w:t xml:space="preserve">the advantage, gas minus hydrogen, in €/MWh-e.</w:t>
      </w:r>
    </w:p>
    <w:bookmarkEnd w:id="39"/>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gas is €256/MWh-e in all seven on that series, since they share a carbon price and a gas cost, so the spread within them is the delivered hydrogen price alone. The other 22 markets do not undercut.</w:t>
      </w:r>
    </w:p>
    <w:bookmarkEnd w:id="40"/>
    <w:bookmarkStart w:id="42" w:name="sec:results:missing"/>
    <w:p>
      <w:pPr>
        <w:pStyle w:val="Heading2"/>
      </w:pPr>
      <w:r>
        <w:rPr>
          <w:rStyle w:val="SectionNumber"/>
          <w:rFonts w:ascii="Times New Roman" w:hAnsi="Times New Roman"/>
          <w:sz w:val="24"/>
        </w:rPr>
        <w:t xml:space="preserve">3.4</w:t>
      </w:r>
      <w:r>
        <w:rPr>
          <w:rFonts w:ascii="Times New Roman" w:hAnsi="Times New Roman"/>
          <w:sz w:val="24"/>
        </w:rPr>
        <w:tab/>
      </w:r>
      <w:r>
        <w:rPr>
          <w:rFonts w:ascii="Times New Roman" w:hAnsi="Times New Roman"/>
          <w:sz w:val="24"/>
        </w:rPr>
        <w:t xml:space="preserve">Capital recovery of the hydrogen peaker</w:t>
      </w:r>
    </w:p>
    <w:p>
      <w:pPr>
        <w:pStyle w:val="FirstParagraph"/>
      </w:pPr>
      <w:r>
        <w:rPr>
          <w:rFonts w:ascii="Times New Roman" w:hAnsi="Times New Roman"/>
          <w:sz w:val="24"/>
        </w:rPr>
        <w:t xml:space="preserve">An investor must also recover the peaker’s capital from the few hours it runs. Under the</w:t>
      </w:r>
      <w:r>
        <w:rPr>
          <w:rFonts w:ascii="Times New Roman" w:hAnsi="Times New Roman"/>
          <w:sz w:val="24"/>
        </w:rPr>
        <w:t xml:space="preserve"> </w:t>
      </w:r>
      <w:r>
        <w:rPr>
          <w:rFonts w:ascii="Times New Roman" w:hAnsi="Times New Roman"/>
          <w:sz w:val="24"/>
        </w:rPr>
        <w:t xml:space="preserve">fixed scarcity-margin screen, a hydrogen unit that is the cheaper firm technology is</w:t>
      </w:r>
      <w:r>
        <w:rPr>
          <w:rFonts w:ascii="Times New Roman" w:hAnsi="Times New Roman"/>
          <w:sz w:val="24"/>
        </w:rPr>
        <w:t xml:space="preserve"> </w:t>
      </w:r>
      <w:r>
        <w:rPr>
          <w:rFonts w:ascii="Times New Roman" w:hAnsi="Times New Roman"/>
          <w:sz w:val="24"/>
        </w:rPr>
        <w:t xml:space="preserve">assigned a price equal to its SRMC plus the assumed scarcity margin</w:t>
      </w:r>
      <w:r>
        <w:rPr>
          <w:rFonts w:ascii="Times New Roman" w:hAnsi="Times New Roman"/>
          <w:sz w:val="24"/>
        </w:rPr>
        <w:t xml:space="preserve"> </w:t>
      </w:r>
      <m:oMath>
        <m:sSup>
          <m:e>
            <m:r>
              <m:t>π</m:t>
            </m:r>
          </m:e>
          <m:sup>
            <m:r>
              <m:rPr>
                <m:sty m:val="p"/>
              </m:rPr>
              <m:t>s</m:t>
            </m:r>
          </m:sup>
        </m:sSup>
      </m:oMath>
      <w:r>
        <w:rPr>
          <w:rFonts w:ascii="Times New Roman" w:hAnsi="Times New Roman"/>
          <w:sz w:val="24"/>
        </w:rPr>
        <w:t xml:space="preserve">. Its modelled scarcity rent is therefore</w:t>
      </w:r>
      <w:r>
        <w:rPr>
          <w:rFonts w:ascii="Times New Roman" w:hAnsi="Times New Roman"/>
          <w:sz w:val="24"/>
        </w:rPr>
        <w:t xml:space="preserve"> </w:t>
      </w:r>
      <m:oMath>
        <m:sSup>
          <m:e>
            <m:r>
              <m:t>π</m:t>
            </m:r>
          </m:e>
          <m:sup>
            <m:r>
              <m:rPr>
                <m:sty m:val="p"/>
              </m:rPr>
              <m:t>s</m:t>
            </m:r>
          </m:sup>
        </m:sSup>
      </m:oMath>
      <w:r>
        <w:rPr>
          <w:rFonts w:ascii="Times New Roman" w:hAnsi="Times New Roman"/>
          <w:sz w:val="24"/>
        </w:rPr>
        <w:t xml:space="preserve">, and</w:t>
      </w:r>
      <w:r>
        <w:rPr>
          <w:rFonts w:ascii="Times New Roman" w:hAnsi="Times New Roman"/>
          <w:sz w:val="24"/>
        </w:rPr>
        <w:t xml:space="preserve"> </w:t>
      </w:r>
      <w:r>
        <w:rPr>
          <w:rFonts w:ascii="Times New Roman" w:hAnsi="Times New Roman"/>
          <w:sz w:val="24"/>
        </w:rPr>
        <w:t xml:space="preserve">recovery is</w:t>
      </w:r>
    </w:p>
    <w:tbl>
      <w:tblPr>
        <w:tblW w:w="5000" w:type="pct"/>
        <w:tblBorders>
          <w:top w:val="none" w:sz="0"/>
          <w:left w:val="none" w:sz="0"/>
          <w:bottom w:val="none" w:sz="0"/>
          <w:right w:val="none" w:sz="0"/>
          <w:insideH w:val="none" w:sz="0"/>
          <w:insideV w:val="none" w:sz="0"/>
        </w:tblBorders>
      </w:tblPr>
      <w:tblGrid>
        <w:gridCol w:w="8500"/>
        <w:gridCol w:w="1000"/>
      </w:tblGrid>
      <w:tr>
        <w:tc>
          <w:tcPr>
            <w:tcW w:w="8500" w:type="dxa"/>
          </w:tcPr>
          <w:p>
            <w:pPr>
              <w:pStyle w:val="BodyText"/>
            </w:pPr>
            <m:oMathPara>
              <m:oMathParaPr>
                <m:jc m:val="center"/>
              </m:oMathParaPr>
              <m:oMath>
                <m:sSub>
                  <m:e>
                    <m:r>
                      <m:t>R</m:t>
                    </m:r>
                  </m:e>
                  <m:sub>
                    <m:r>
                      <m:t>c</m:t>
                    </m:r>
                  </m:sub>
                </m:sSub>
                <m:r>
                  <m:rPr>
                    <m:sty m:val="p"/>
                  </m:rPr>
                  <m:t>=</m:t>
                </m:r>
                <m:f>
                  <m:fPr>
                    <m:type m:val="bar"/>
                  </m:fPr>
                  <m:num>
                    <m:sSup>
                      <m:e>
                        <m:r>
                          <m:t>π</m:t>
                        </m:r>
                      </m:e>
                      <m:sup>
                        <m:r>
                          <m:rPr>
                            <m:sty m:val="p"/>
                          </m:rPr>
                          <m:t>s</m:t>
                        </m:r>
                      </m:sup>
                    </m:sSup>
                    <m:r>
                      <m:t> </m:t>
                    </m:r>
                    <m:sSub>
                      <m:e>
                        <m:r>
                          <m:rPr>
                            <m:sty m:val="p"/>
                          </m:rPr>
                          <m:t>FLH</m:t>
                        </m:r>
                      </m:e>
                      <m:sub>
                        <m:r>
                          <m:t>c</m:t>
                        </m:r>
                      </m:sub>
                    </m:sSub>
                    <m:r>
                      <m:rPr>
                        <m:sty m:val="p"/>
                      </m:rPr>
                      <m:t>/</m:t>
                    </m:r>
                    <m:r>
                      <m:t>1000</m:t>
                    </m:r>
                  </m:num>
                  <m:den>
                    <m:r>
                      <m:rPr>
                        <m:sty m:val="p"/>
                      </m:rPr>
                      <m:t>(</m:t>
                    </m:r>
                    <m:sSub>
                      <m:e>
                        <m:r>
                          <m:rPr>
                            <m:sty m:val="p"/>
                          </m:rPr>
                          <m:t>CRF</m:t>
                        </m:r>
                      </m:e>
                      <m:sub>
                        <m:r>
                          <m:t>c</m:t>
                        </m:r>
                      </m:sub>
                    </m:sSub>
                    <m:r>
                      <m:rPr>
                        <m:sty m:val="p"/>
                      </m:rPr>
                      <m:t>+</m:t>
                    </m:r>
                    <m:r>
                      <m:t>f</m:t>
                    </m:r>
                    <m:r>
                      <m:rPr>
                        <m:sty m:val="p"/>
                      </m:rPr>
                      <m:t xml:space="preserve">) </m:t>
                    </m:r>
                    <m:sSup>
                      <m:e>
                        <m:r>
                          <m:t>K</m:t>
                        </m:r>
                      </m:e>
                      <m:sup>
                        <m:r>
                          <m:rPr>
                            <m:sty m:val="p"/>
                          </m:rPr>
                          <m:t>T</m:t>
                        </m:r>
                      </m:sup>
                    </m:sSup>
                  </m:den>
                </m:f>
                <m:r>
                  <m:rPr>
                    <m:sty m:val="p"/>
                  </m:rPr>
                  <m:t>,</m:t>
                </m:r>
              </m:oMath>
            </m:oMathPara>
          </w:p>
        </w:tc>
        <w:tc>
          <w:tcPr>
            <w:tcW w:w="1000" w:type="dxa"/>
            <w:vAlign w:val="center"/>
          </w:tcPr>
          <w:p>
            <w:pPr>
              <w:jc w:val="right"/>
            </w:pPr>
            <w:r>
              <w:rPr>
                <w:rFonts w:ascii="Times New Roman" w:hAnsi="Times New Roman" w:cs="Times New Roman"/>
                <w:sz w:val="24"/>
              </w:rPr>
              <w:t xml:space="preserve">(</w:t>
            </w:r>
            <w:bookmarkStart w:id="1002" w:name="eq_2"/>
            <w:r>
              <w:rPr>
                <w:rFonts w:ascii="Times New Roman" w:hAnsi="Times New Roman" w:cs="Times New Roman"/>
                <w:sz w:val="24"/>
              </w:rPr>
              <w:fldChar w:fldCharType="begin"/>
            </w:r>
            <w:r>
              <w:rPr>
                <w:rFonts w:ascii="Times New Roman" w:hAnsi="Times New Roman" w:cs="Times New Roman"/>
                <w:sz w:val="24"/>
              </w:rPr>
              <w:instrText xml:space="preserve"> SEQ Equation \* ARABIC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bookmarkEnd w:id="1002"/>
            <w:r>
              <w:rPr>
                <w:rFonts w:ascii="Times New Roman" w:hAnsi="Times New Roman" w:cs="Times New Roman"/>
                <w:sz w:val="24"/>
              </w:rPr>
              <w:t xml:space="preserve">)</w:t>
            </w:r>
          </w:p>
        </w:tc>
      </w:tr>
    </w:tbl>
    <w:p>
      <w:pPr>
        <w:pStyle w:val="BodyText"/>
      </w:pPr>
      <w:r>
        <w:rPr>
          <w:rFonts w:ascii="Times New Roman" w:hAnsi="Times New Roman"/>
          <w:sz w:val="24"/>
        </w:rPr>
        <w:t xml:space="preserve">with</w:t>
      </w:r>
      <w:r>
        <w:rPr>
          <w:rFonts w:ascii="Times New Roman" w:hAnsi="Times New Roman"/>
          <w:sz w:val="24"/>
        </w:rPr>
        <w:t xml:space="preserve"> </w:t>
      </w:r>
      <m:oMath>
        <m:r>
          <m:rPr>
            <m:sty m:val="p"/>
          </m:rPr>
          <m:t>FLH</m:t>
        </m:r>
      </m:oMath>
      <w:r>
        <w:rPr>
          <w:rFonts w:ascii="Times New Roman" w:hAnsi="Times New Roman"/>
          <w:sz w:val="24"/>
        </w:rPr>
        <w:t xml:space="preserve"> </w:t>
      </w:r>
      <w:r>
        <w:rPr>
          <w:rFonts w:ascii="Times New Roman" w:hAnsi="Times New Roman"/>
          <w:sz w:val="24"/>
        </w:rPr>
        <w:t xml:space="preserve">the peaker’s full-load hours,</w:t>
      </w:r>
      <w:r>
        <w:rPr>
          <w:rFonts w:ascii="Times New Roman" w:hAnsi="Times New Roman"/>
          <w:sz w:val="24"/>
        </w:rPr>
        <w:t xml:space="preserve"> </w:t>
      </w:r>
      <m:oMath>
        <m:sSup>
          <m:e>
            <m:r>
              <m:t>K</m:t>
            </m:r>
          </m:e>
          <m:sup>
            <m:r>
              <m:rPr>
                <m:sty m:val="p"/>
              </m:rPr>
              <m:t>T</m:t>
            </m:r>
          </m:sup>
        </m:sSup>
      </m:oMath>
      <w:r>
        <w:rPr>
          <w:rFonts w:ascii="Times New Roman" w:hAnsi="Times New Roman"/>
          <w:sz w:val="24"/>
        </w:rPr>
        <w:t xml:space="preserve"> </w:t>
      </w:r>
      <w:r>
        <w:rPr>
          <w:rFonts w:ascii="Times New Roman" w:hAnsi="Times New Roman"/>
          <w:sz w:val="24"/>
        </w:rPr>
        <w:t xml:space="preserve">the turbine</w:t>
      </w:r>
      <w:r>
        <w:rPr>
          <w:rFonts w:ascii="Times New Roman" w:hAnsi="Times New Roman"/>
          <w:sz w:val="24"/>
        </w:rPr>
        <w:t xml:space="preserve"> </w:t>
      </w:r>
      <w:r>
        <w:rPr>
          <w:rFonts w:ascii="Times New Roman" w:hAnsi="Times New Roman"/>
          <w:sz w:val="24"/>
        </w:rPr>
        <w:t xml:space="preserve">capital cost,</w:t>
      </w:r>
      <w:r>
        <w:rPr>
          <w:rFonts w:ascii="Times New Roman" w:hAnsi="Times New Roman"/>
          <w:sz w:val="24"/>
        </w:rPr>
        <w:t xml:space="preserve"> </w:t>
      </w:r>
      <m:oMath>
        <m:r>
          <m:rPr>
            <m:sty m:val="p"/>
          </m:rPr>
          <m:t>CRF</m:t>
        </m:r>
      </m:oMath>
      <w:r>
        <w:rPr>
          <w:rFonts w:ascii="Times New Roman" w:hAnsi="Times New Roman"/>
          <w:sz w:val="24"/>
        </w:rPr>
        <w:t xml:space="preserve"> </w:t>
      </w:r>
      <w:r>
        <w:rPr>
          <w:rFonts w:ascii="Times New Roman" w:hAnsi="Times New Roman"/>
          <w:sz w:val="24"/>
        </w:rPr>
        <w:t xml:space="preserve">the country’s capital-recovery factor over 25 years and</w:t>
      </w:r>
      <w:r>
        <w:rPr>
          <w:rFonts w:ascii="Times New Roman" w:hAnsi="Times New Roman"/>
          <w:sz w:val="24"/>
        </w:rPr>
        <w:t xml:space="preserve"> </w:t>
      </w:r>
      <m:oMath>
        <m:r>
          <m:t>f</m:t>
        </m:r>
        <m:r>
          <m:rPr>
            <m:sty m:val="p"/>
          </m:rPr>
          <m:t>=</m:t>
        </m:r>
        <m:r>
          <m:t>2.5</m:t>
        </m:r>
      </m:oMath>
      <w:r>
        <w:rPr>
          <w:rFonts w:ascii="Times New Roman" w:hAnsi="Times New Roman"/>
          <w:sz w:val="24"/>
        </w:rPr>
        <w:t xml:space="preserve"> per cent a year the fixed operating charge. Because 1 kW operating for</w:t>
      </w:r>
      <w:r>
        <w:rPr>
          <w:rFonts w:ascii="Times New Roman" w:hAnsi="Times New Roman"/>
          <w:sz w:val="24"/>
        </w:rPr>
        <w:t xml:space="preserve"> </w:t>
      </w:r>
      <m:oMath>
        <m:r>
          <m:rPr>
            <m:sty m:val="p"/>
          </m:rPr>
          <m:t>FLH</m:t>
        </m:r>
      </m:oMath>
      <w:r>
        <w:rPr>
          <w:rFonts w:ascii="Times New Roman" w:hAnsi="Times New Roman"/>
          <w:sz w:val="24"/>
        </w:rPr>
        <w:t xml:space="preserve"> </w:t>
      </w:r>
      <w:r>
        <w:rPr>
          <w:rFonts w:ascii="Times New Roman" w:hAnsi="Times New Roman"/>
          <w:sz w:val="24"/>
        </w:rPr>
        <w:t xml:space="preserve">hours produces</w:t>
      </w:r>
      <w:r>
        <w:rPr>
          <w:rFonts w:ascii="Times New Roman" w:hAnsi="Times New Roman"/>
          <w:sz w:val="24"/>
        </w:rPr>
        <w:t xml:space="preserve"> </w:t>
      </w:r>
      <m:oMath>
        <m:r>
          <m:rPr>
            <m:sty m:val="p"/>
          </m:rPr>
          <m:t>FLH/</m:t>
        </m:r>
        <m:r>
          <m:t>1</m:t>
        </m:r>
        <m:r>
          <m:rPr>
            <m:sty m:val="p"/>
          </m:rPr>
          <m:t>,</m:t>
        </m:r>
        <m:r>
          <m:t>000</m:t>
        </m:r>
      </m:oMath>
      <w:r>
        <w:rPr>
          <w:rFonts w:ascii="Times New Roman" w:hAnsi="Times New Roman"/>
          <w:sz w:val="24"/>
        </w:rPr>
        <w:t xml:space="preserve"> MWh per year, the numerator is annual scarcity rent in €/kW-yr, matching the annualised capital-and-fixed-operating charge in the denominator. Under the modelled fixed scarcity-margin screen, at the central margin</w:t>
      </w:r>
      <w:r>
        <w:rPr>
          <w:rFonts w:ascii="Times New Roman" w:hAnsi="Times New Roman"/>
          <w:sz w:val="24"/>
        </w:rPr>
        <w:t xml:space="preserve"> </w:t>
      </w:r>
      <m:oMath>
        <m:sSup>
          <m:e>
            <m:r>
              <m:t>π</m:t>
            </m:r>
          </m:e>
          <m:sup>
            <m:r>
              <m:rPr>
                <m:sty m:val="p"/>
              </m:rPr>
              <m:t>s</m:t>
            </m:r>
          </m:sup>
        </m:sSup>
      </m:oMath>
      <w:r>
        <w:rPr>
          <w:rFonts w:ascii="Times New Roman" w:hAnsi="Times New Roman"/>
          <w:sz w:val="24"/>
        </w:rPr>
        <w:t xml:space="preserve"> </w:t>
      </w:r>
      <w:r>
        <w:rPr>
          <w:rFonts w:ascii="Times New Roman" w:hAnsi="Times New Roman"/>
          <w:sz w:val="24"/>
        </w:rPr>
        <w:t xml:space="preserve">of €60/MWh,</w:t>
      </w:r>
      <w:r>
        <w:rPr>
          <w:rFonts w:ascii="Times New Roman" w:hAnsi="Times New Roman"/>
          <w:sz w:val="24"/>
        </w:rPr>
        <w:t xml:space="preserve"> </w:t>
      </w:r>
      <m:oMath>
        <m:sSub>
          <m:e>
            <m:r>
              <m:t>R</m:t>
            </m:r>
          </m:e>
          <m:sub>
            <m:r>
              <m:t>c</m:t>
            </m:r>
          </m:sub>
        </m:sSub>
        <m:r>
          <m:rPr>
            <m:sty m:val="p"/>
          </m:rPr>
          <m:t>&lt;</m:t>
        </m:r>
        <m:r>
          <m:t>1</m:t>
        </m:r>
      </m:oMath>
      <w:r>
        <w:rPr>
          <w:rFonts w:ascii="Times New Roman" w:hAnsi="Times New Roman"/>
          <w:sz w:val="24"/>
        </w:rPr>
        <w:t xml:space="preserve"> </w:t>
      </w:r>
      <w:r>
        <w:rPr>
          <w:rFonts w:ascii="Times New Roman" w:hAnsi="Times New Roman"/>
          <w:sz w:val="24"/>
        </w:rPr>
        <w:t xml:space="preserve">in every modelled country and scenario, so no tested market reaches full peaker-capital recovery even where hydrogen’s operating cost wins the cold snap. The shortfall, rather than its size, is the robust result, holding across the tested scarcity-margin range and every weather variant in Supplementary Section S2.9. The five that build average 80 full-load hours weighted by</w:t>
      </w:r>
      <w:r>
        <w:rPr>
          <w:rFonts w:ascii="Times New Roman" w:hAnsi="Times New Roman"/>
          <w:sz w:val="24"/>
        </w:rPr>
        <w:t xml:space="preserve"> </w:t>
      </w:r>
      <w:r>
        <w:rPr>
          <w:rFonts w:ascii="Times New Roman" w:hAnsi="Times New Roman"/>
          <w:sz w:val="24"/>
        </w:rPr>
        <w:t xml:space="preserve">capacity, against 139 for the whole fleet, so their rent covers about 9 per cent of an</w:t>
      </w:r>
      <w:r>
        <w:rPr>
          <w:rFonts w:ascii="Times New Roman" w:hAnsi="Times New Roman"/>
          <w:sz w:val="24"/>
        </w:rPr>
        <w:t xml:space="preserve"> </w:t>
      </w:r>
      <w:r>
        <w:rPr>
          <w:rFonts w:ascii="Times New Roman" w:hAnsi="Times New Roman"/>
          <w:sz w:val="24"/>
        </w:rPr>
        <w:t xml:space="preserve">annualised charge of €51–66/kW-yr in the central case, 4.4–17.4 per cent</w:t>
      </w:r>
      <w:r>
        <w:rPr>
          <w:rFonts w:ascii="Times New Roman" w:hAnsi="Times New Roman"/>
          <w:sz w:val="24"/>
        </w:rPr>
        <w:t xml:space="preserve"> </w:t>
      </w:r>
      <w:r>
        <w:rPr>
          <w:rFonts w:ascii="Times New Roman" w:hAnsi="Times New Roman"/>
          <w:sz w:val="24"/>
        </w:rPr>
        <w:t xml:space="preserve">across the scarcity grid below.</w:t>
      </w:r>
    </w:p>
    <w:p>
      <w:pPr>
        <w:pStyle w:val="BodyText"/>
      </w:pPr>
      <w:r>
        <w:rPr>
          <w:rFonts w:ascii="Times New Roman" w:hAnsi="Times New Roman"/>
          <w:sz w:val="24"/>
        </w:rPr>
        <w:t xml:space="preserve">Recovery is a single-year ratio of rent to that year’s capital charge, and the spread</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tracks utilisation, since 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is linear in run hours at a common</w:t>
      </w:r>
      <w:r>
        <w:rPr>
          <w:rFonts w:ascii="Times New Roman" w:hAnsi="Times New Roman"/>
          <w:sz w:val="24"/>
        </w:rPr>
        <w:t xml:space="preserve"> </w:t>
      </w:r>
      <w:r>
        <w:rPr>
          <w:rFonts w:ascii="Times New Roman" w:hAnsi="Times New Roman"/>
          <w:sz w:val="24"/>
        </w:rPr>
        <w:t xml:space="preserve">margin. Five of the seven cavern markets build a peaker in 2050, over run windows from 48 hours in</w:t>
      </w:r>
      <w:r>
        <w:rPr>
          <w:rFonts w:ascii="Times New Roman" w:hAnsi="Times New Roman"/>
          <w:sz w:val="24"/>
        </w:rPr>
        <w:t xml:space="preserve"> </w:t>
      </w:r>
      <w:r>
        <w:rPr>
          <w:rFonts w:ascii="Times New Roman" w:hAnsi="Times New Roman"/>
          <w:sz w:val="24"/>
        </w:rPr>
        <w:t xml:space="preserve">Germany to 343 in Denmark and recoveries from Poland’s 5.1 per cent to Denmark’s 40.0</w:t>
      </w:r>
      <w:r>
        <w:rPr>
          <w:rFonts w:ascii="Times New Roman" w:hAnsi="Times New Roman"/>
          <w:sz w:val="24"/>
        </w:rPr>
        <w:t xml:space="preserve"> </w:t>
      </w:r>
      <w:r>
        <w:rPr>
          <w:rFonts w:ascii="Times New Roman" w:hAnsi="Times New Roman"/>
          <w:sz w:val="24"/>
        </w:rPr>
        <w:t xml:space="preserve">(Supplementary Section S2.4). No tested market reaches the 100 per cent recovery threshold required for private finance over the €30–120/MWh scarcity-margin range, the</w:t>
      </w:r>
      <w:r>
        <w:rPr>
          <w:rFonts w:ascii="Times New Roman" w:hAnsi="Times New Roman"/>
          <w:sz w:val="24"/>
        </w:rPr>
        <w:t xml:space="preserve"> </w:t>
      </w:r>
      <w:r>
        <w:rPr>
          <w:rFonts w:ascii="Times New Roman" w:hAnsi="Times New Roman"/>
          <w:sz w:val="24"/>
        </w:rPr>
        <w:t xml:space="preserve">classic missing-money problem</w:t>
      </w:r>
      <w:r>
        <w:rPr>
          <w:rFonts w:ascii="Times New Roman" w:hAnsi="Times New Roman"/>
          <w:sz w:val="24"/>
        </w:rPr>
        <w:t xml:space="preserve"> </w:t>
      </w:r>
      <w:r>
        <w:rPr>
          <w:rFonts w:ascii="Times New Roman" w:hAnsi="Times New Roman"/>
          <w:sz w:val="24"/>
        </w:rPr>
        <w:t xml:space="preserve">[30], [64]</w:t>
      </w:r>
      <w:r>
        <w:rPr>
          <w:rFonts w:ascii="Times New Roman" w:hAnsi="Times New Roman"/>
          <w:sz w:val="24"/>
        </w:rPr>
        <w:t xml:space="preserve">. Cumulated undiscounted over the 25 years to 2050 the H2 Push peaker loses about €357 bn against €142 bn</w:t>
      </w:r>
      <w:r>
        <w:rPr>
          <w:rFonts w:ascii="Times New Roman" w:hAnsi="Times New Roman"/>
          <w:sz w:val="24"/>
        </w:rPr>
        <w:t xml:space="preserve"> </w:t>
      </w:r>
      <w:r>
        <w:rPr>
          <w:rFonts w:ascii="Times New Roman" w:hAnsi="Times New Roman"/>
          <w:sz w:val="24"/>
        </w:rPr>
        <w:t xml:space="preserve">for an equivalent gas peaker, widening to €563 bn under Current Policies, so the</w:t>
      </w:r>
      <w:r>
        <w:rPr>
          <w:rFonts w:ascii="Times New Roman" w:hAnsi="Times New Roman"/>
          <w:sz w:val="24"/>
        </w:rPr>
        <w:t xml:space="preserve"> </w:t>
      </w:r>
      <w:r>
        <w:rPr>
          <w:rFonts w:ascii="Times New Roman" w:hAnsi="Times New Roman"/>
          <w:sz w:val="24"/>
        </w:rPr>
        <w:t xml:space="preserve">shortfall is not an artefact of the hydrogen-heavy scenario (Supplementary</w:t>
      </w:r>
      <w:r>
        <w:rPr>
          <w:rFonts w:ascii="Times New Roman" w:hAnsi="Times New Roman"/>
          <w:sz w:val="24"/>
        </w:rPr>
        <w:t xml:space="preserve"> </w:t>
      </w:r>
      <w:r>
        <w:rPr>
          <w:rFonts w:ascii="Times New Roman" w:hAnsi="Times New Roman"/>
          <w:sz w:val="24"/>
        </w:rPr>
        <w:t xml:space="preserve">Section S2.4).</w:t>
      </w:r>
    </w:p>
    <w:p>
      <w:pPr>
        <w:pStyle w:val="BodyText"/>
      </w:pPr>
      <w:r>
        <w:rPr>
          <w:rFonts w:ascii="Times New Roman" w:hAnsi="Times New Roman"/>
          <w:sz w:val="24"/>
        </w:rPr>
        <w:t xml:space="preserve">An explicit unit-commitment cross-check produces 2.8 GW more peaking capacity and 160 full-load hours, compared with 139 hours in the reduced-form screen. The additional capacity arises from the unit-commitment sizing pass, which adds capacity in Romania. The higher utilisation increases recovered rent and therefore cuts against the missing-money finding.</w:t>
      </w:r>
    </w:p>
    <w:p>
      <w:pPr>
        <w:pStyle w:val="BodyText"/>
      </w:pPr>
      <w:r>
        <w:rPr>
          <w:rFonts w:ascii="Times New Roman" w:hAnsi="Times New Roman"/>
          <w:sz w:val="24"/>
        </w:rPr>
        <w:t xml:space="preserve">The peaking fleet is large in capacity but small in annual energy. The firm dispatchable peaking fleet is</w:t>
      </w:r>
      <w:r>
        <w:rPr>
          <w:rFonts w:ascii="Times New Roman" w:hAnsi="Times New Roman"/>
          <w:sz w:val="24"/>
        </w:rPr>
        <w:t xml:space="preserve"> </w:t>
      </w:r>
      <w:r>
        <w:rPr>
          <w:rFonts w:ascii="Times New Roman" w:hAnsi="Times New Roman"/>
          <w:sz w:val="24"/>
        </w:rPr>
        <w:t xml:space="preserve">about 278 GW on the constructed weather year, roughly 31 per cent of the 889 GW system</w:t>
      </w:r>
      <w:r>
        <w:rPr>
          <w:rFonts w:ascii="Times New Roman" w:hAnsi="Times New Roman"/>
          <w:sz w:val="24"/>
        </w:rPr>
        <w:t xml:space="preserve"> </w:t>
      </w:r>
      <w:r>
        <w:rPr>
          <w:rFonts w:ascii="Times New Roman" w:hAnsi="Times New Roman"/>
          <w:sz w:val="24"/>
        </w:rPr>
        <w:t xml:space="preserve">peak, computed on the Stated Policies demand path and priced under each scenario’s fuel and</w:t>
      </w:r>
      <w:r>
        <w:rPr>
          <w:rFonts w:ascii="Times New Roman" w:hAnsi="Times New Roman"/>
          <w:sz w:val="24"/>
        </w:rPr>
        <w:t xml:space="preserve"> </w:t>
      </w:r>
      <w:r>
        <w:rPr>
          <w:rFonts w:ascii="Times New Roman" w:hAnsi="Times New Roman"/>
          <w:sz w:val="24"/>
        </w:rPr>
        <w:t xml:space="preserve">carbon paths, so only the margins move. Using each scenario’s own demand path with the same technology stack and weather year, required peaking capacity ranges from 242 to 278 GW and utilisation from</w:t>
      </w:r>
      <w:r>
        <w:rPr>
          <w:rFonts w:ascii="Times New Roman" w:hAnsi="Times New Roman"/>
          <w:sz w:val="24"/>
        </w:rPr>
        <w:t xml:space="preserve"> </w:t>
      </w:r>
      <w:r>
        <w:rPr>
          <w:rFonts w:ascii="Times New Roman" w:hAnsi="Times New Roman"/>
          <w:sz w:val="24"/>
        </w:rPr>
        <w:t xml:space="preserve">131 to 148 full-load hours. It is an increment on a firm combined-cycle</w:t>
      </w:r>
      <w:r>
        <w:rPr>
          <w:rFonts w:ascii="Times New Roman" w:hAnsi="Times New Roman"/>
          <w:sz w:val="24"/>
        </w:rPr>
        <w:t xml:space="preserve"> </w:t>
      </w:r>
      <w:r>
        <w:rPr>
          <w:rFonts w:ascii="Times New Roman" w:hAnsi="Times New Roman"/>
          <w:sz w:val="24"/>
        </w:rPr>
        <w:t xml:space="preserve">fleet of about 195 GW, so the combined-cycle-plus-peaker thermal fleet is about 473 GW or 53 per cent of peak, and the increment is what hydrogen competes for. EU pooling takes the requirement to an idealised copperplate lower bound of 239 GW (Supplementary Section S2.4). However, that fleet supplies only 0.86 per cent of the study area’s 4</w:t>
      </w:r>
      <w:r>
        <w:rPr>
          <w:rFonts w:ascii="Times New Roman" w:hAnsi="Times New Roman"/>
          <w:sz w:val="24"/>
        </w:rPr>
        <w:t xml:space="preserve">,</w:t>
      </w:r>
      <w:r>
        <w:rPr>
          <w:rFonts w:ascii="Times New Roman" w:hAnsi="Times New Roman"/>
          <w:sz w:val="24"/>
        </w:rPr>
        <w:t xml:space="preserve">513 TWh of 2050 electricity demand, or about 1.2 per cent with non-heat demand held flat rather than grown 1.40-fold. It runs about 139 full-load hours a year, so hydrogen’s electricity role is a capacity role, the clean firm backstop for electrified</w:t>
      </w:r>
      <w:r>
        <w:rPr>
          <w:rFonts w:ascii="Times New Roman" w:hAnsi="Times New Roman"/>
          <w:sz w:val="24"/>
        </w:rPr>
        <w:t xml:space="preserve"> </w:t>
      </w:r>
      <w:r>
        <w:rPr>
          <w:rFonts w:ascii="Times New Roman" w:hAnsi="Times New Roman"/>
          <w:sz w:val="24"/>
        </w:rPr>
        <w:t xml:space="preserve">heat rather than a source of kilowatt-hours</w:t>
      </w:r>
      <w:r>
        <w:rPr>
          <w:rFonts w:ascii="Times New Roman" w:hAnsi="Times New Roman"/>
          <w:sz w:val="24"/>
        </w:rPr>
        <w:t xml:space="preserve"> </w:t>
      </w:r>
      <w:r>
        <w:rPr>
          <w:rFonts w:ascii="Times New Roman" w:hAnsi="Times New Roman"/>
          <w:sz w:val="24"/>
        </w:rPr>
        <w:t xml:space="preserve">[34], [35]</w:t>
      </w:r>
      <w:r>
        <w:rPr>
          <w:rFonts w:ascii="Times New Roman" w:hAnsi="Times New Roman"/>
          <w:sz w:val="24"/>
        </w:rPr>
        <w:t xml:space="preserve">.</w:t>
      </w:r>
    </w:p>
    <w:p>
      <w:pPr>
        <w:pStyle w:val="BodyText"/>
      </w:pPr>
      <w:r>
        <w:rPr>
          <w:rFonts w:ascii="Times New Roman" w:hAnsi="Times New Roman"/>
          <w:sz w:val="24"/>
        </w:rPr>
        <w:t xml:space="preserve">Hydrogen wins operating-cost dispatch in up to 7 of 29 district-heat markets under the</w:t>
      </w:r>
      <w:r>
        <w:rPr>
          <w:rFonts w:ascii="Times New Roman" w:hAnsi="Times New Roman"/>
          <w:sz w:val="24"/>
        </w:rPr>
        <w:t xml:space="preserve"> </w:t>
      </w:r>
      <w:r>
        <w:rPr>
          <w:rFonts w:ascii="Times New Roman" w:hAnsi="Times New Roman"/>
          <w:sz w:val="24"/>
        </w:rPr>
        <w:t xml:space="preserve">symmetric treatment and in 20 under the sensitivity excluding hydrogen last-mile</w:t>
      </w:r>
      <w:r>
        <w:rPr>
          <w:rFonts w:ascii="Times New Roman" w:hAnsi="Times New Roman"/>
          <w:sz w:val="24"/>
        </w:rPr>
        <w:t xml:space="preserve"> </w:t>
      </w:r>
      <w:r>
        <w:rPr>
          <w:rFonts w:ascii="Times New Roman" w:hAnsi="Times New Roman"/>
          <w:sz w:val="24"/>
        </w:rPr>
        <w:t xml:space="preserve">distribution and using the residential rather than wholesale gas tariff. The recovery test runs on the power-sector</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peaker alone, the plant this section prices, and its rent covers at most 40.0 per cent of its annualised capital charge (Table </w:t>
      </w:r>
      <w:r>
        <w:rPr>
          <w:rFonts w:ascii="Times New Roman" w:hAnsi="Times New Roman" w:cs="Times New Roman"/>
          <w:sz w:val="24"/>
        </w:rPr>
        <w:fldChar w:fldCharType="begin"/>
      </w:r>
      <w:r>
        <w:rPr>
          <w:rFonts w:ascii="Times New Roman" w:hAnsi="Times New Roman" w:cs="Times New Roman"/>
          <w:sz w:val="24"/>
        </w:rPr>
        <w:instrText xml:space="preserve"> REF tab_2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Adequacy is imposed by the sizing rule, leaving the difficulty as one of paying for the capacity.</w:t>
      </w:r>
    </w:p>
    <w:bookmarkStart w:id="41" w:name="tab:arenas_body"/>
    <w:p>
      <w:pPr>
        <w:pStyle w:val="TableCaption"/>
        <w:keepNext/>
      </w:pPr>
      <w:r>
        <w:rPr>
          <w:rFonts w:ascii="Times New Roman" w:hAnsi="Times New Roman"/>
          <w:sz w:val="24"/>
        </w:rPr>
        <w:t xml:space="preserve">Table </w:t>
      </w:r>
      <w:bookmarkStart w:id="1010" w:name="tab_2"/>
      <w:r>
        <w:rPr>
          <w:rFonts w:ascii="Times New Roman" w:hAnsi="Times New Roman" w:cs="Times New Roman"/>
          <w:sz w:val="24"/>
        </w:rPr>
        <w:fldChar w:fldCharType="begin"/>
      </w:r>
      <w:r>
        <w:rPr>
          <w:rFonts w:ascii="Times New Roman" w:hAnsi="Times New Roman" w:cs="Times New Roman"/>
          <w:sz w:val="24"/>
        </w:rPr>
        <w:instrText xml:space="preserve"> SEQ Table \* ARABIC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bookmarkEnd w:id="1010"/>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Operating-cost wins by arena against capital recovery.</w:t>
      </w:r>
      <w:r>
        <w:rPr>
          <w:rFonts w:ascii="Times New Roman" w:hAnsi="Times New Roman"/>
          <w:sz w:val="24"/>
        </w:rPr>
        <w:t xml:space="preserve"> </w:t>
      </w:r>
      <w:r>
        <w:rPr>
          <w:rFonts w:ascii="Times New Roman" w:hAnsi="Times New Roman"/>
          <w:sz w:val="24"/>
        </w:rPr>
        <w:t xml:space="preserve">Counts of the</w:t>
      </w:r>
      <w:r>
        <w:rPr>
          <w:rFonts w:ascii="Times New Roman" w:hAnsi="Times New Roman"/>
          <w:sz w:val="24"/>
        </w:rPr>
        <w:t xml:space="preserve"> </w:t>
      </w:r>
      <w:r>
        <w:rPr>
          <w:rFonts w:ascii="Times New Roman" w:hAnsi="Times New Roman"/>
          <w:sz w:val="24"/>
        </w:rPr>
        <w:t xml:space="preserve">29 markets at 2050.</w:t>
      </w:r>
    </w:p>
    <w:tbl>
      <w:tblPr>
        <w:tblW w:type="auto" w:w="0"/>
        <w:tblLook w:firstColumn="1" w:firstRow="1" w:lastColumn="0" w:lastRow="0" w:noHBand="0" w:noVBand="1" w:val="04A0"/>
        <w:tblLayout w:type="fixed"/>
        <w:tblBorders>
          <w:top w:val="none" w:sz="0"/>
          <w:left w:val="none" w:sz="0"/>
          <w:bottom w:val="none" w:sz="0"/>
          <w:right w:val="none" w:sz="0"/>
          <w:insideH w:val="none" w:sz="0"/>
          <w:insideV w:val="none" w:sz="0"/>
        </w:tblBorders>
        <w:tblCellMar>
          <w:top w:w="40" w:type="dxa"/>
          <w:bottom w:w="40" w:type="dxa"/>
          <w:left w:w="0" w:type="dxa"/>
          <w:right w:w="115" w:type="dxa"/>
        </w:tblCellMar>
      </w:tblPr>
      <w:tblGrid>
        <w:gridCol w:w="3600"/>
        <w:gridCol w:w="1440"/>
        <w:gridCol w:w="1440"/>
        <w:gridCol w:w="1440"/>
        <w:gridCol w:w="1440"/>
      </w:tblGrid>
      <w:tr>
        <w:trPr>
          <w:cantSplit/>
          <w:tblHeader/>
        </w:trPr>
        <w:tc>
          <w:tcPr>
            <w:tcW w:type="dxa" w:w="3600"/>
            <w:tcBorders>
              <w:top w:val="single" w:sz="8" w:space="0" w:color="000000"/>
            </w:tcBorders>
          </w:tcPr>
          <w:p>
            <w:pPr>
              <w:keepNext/>
              <w:spacing w:line="240" w:lineRule="auto" w:after="0"/>
              <w:jc w:val="left"/>
            </w:pPr>
          </w:p>
        </w:tc>
        <w:tc>
          <w:tcPr>
            <w:tcW w:type="dxa" w:w="1440"/>
            <w:tcBorders>
              <w:top w:val="single" w:sz="8" w:space="0" w:color="000000"/>
            </w:tcBorders>
          </w:tcPr>
          <w:p>
            <w:pPr>
              <w:keepNext/>
              <w:spacing w:line="240" w:lineRule="auto" w:after="0"/>
              <w:jc w:val="right"/>
            </w:pPr>
            <w:r>
              <w:rPr>
                <w:rFonts w:ascii="Times New Roman" w:hAnsi="Times New Roman"/>
                <w:b w:val="0"/>
                <w:i w:val="0"/>
                <w:sz w:val="20"/>
              </w:rPr>
              <w:t>Current</w:t>
            </w:r>
          </w:p>
        </w:tc>
        <w:tc>
          <w:tcPr>
            <w:tcW w:type="dxa" w:w="1440"/>
            <w:tcBorders>
              <w:top w:val="single" w:sz="8" w:space="0" w:color="000000"/>
            </w:tcBorders>
          </w:tcPr>
          <w:p>
            <w:pPr>
              <w:keepNext/>
              <w:spacing w:line="240" w:lineRule="auto" w:after="0"/>
              <w:jc w:val="right"/>
            </w:pPr>
            <w:r>
              <w:rPr>
                <w:rFonts w:ascii="Times New Roman" w:hAnsi="Times New Roman"/>
                <w:b w:val="0"/>
                <w:i w:val="0"/>
                <w:sz w:val="20"/>
              </w:rPr>
              <w:t>Stated</w:t>
            </w:r>
          </w:p>
        </w:tc>
        <w:tc>
          <w:tcPr>
            <w:tcW w:type="dxa" w:w="1440"/>
            <w:tcBorders>
              <w:top w:val="single" w:sz="8" w:space="0" w:color="000000"/>
            </w:tcBorders>
          </w:tcPr>
          <w:p>
            <w:pPr>
              <w:keepNext/>
              <w:spacing w:line="240" w:lineRule="auto" w:after="0"/>
              <w:jc w:val="right"/>
            </w:pPr>
            <w:r>
              <w:rPr>
                <w:rFonts w:ascii="Times New Roman" w:hAnsi="Times New Roman"/>
                <w:b w:val="0"/>
                <w:i w:val="0"/>
                <w:sz w:val="20"/>
              </w:rPr>
              <w:t>Net Zero</w:t>
            </w:r>
          </w:p>
        </w:tc>
        <w:tc>
          <w:tcPr>
            <w:tcW w:type="dxa" w:w="1440"/>
            <w:tcBorders>
              <w:top w:val="single" w:sz="8" w:space="0" w:color="000000"/>
            </w:tcBorders>
          </w:tcPr>
          <w:p>
            <w:pPr>
              <w:keepNext/>
              <w:spacing w:line="240" w:lineRule="auto" w:after="0"/>
              <w:jc w:val="right"/>
            </w:pPr>
            <w:r>
              <w:rPr>
                <w:rFonts w:ascii="Times New Roman" w:hAnsi="Times New Roman"/>
                <w:b w:val="0"/>
                <w:i w:val="0"/>
                <w:sz w:val="20"/>
              </w:rPr>
              <w:t>H2 Push</w:t>
            </w:r>
          </w:p>
        </w:tc>
      </w:tr>
      <w:tr>
        <w:trPr>
          <w:cantSplit/>
          <w:tblHeader/>
        </w:trPr>
        <w:tc>
          <w:tcPr>
            <w:tcW w:type="dxa" w:w="3600"/>
          </w:tcPr>
          <w:p>
            <w:pPr>
              <w:keepNext/>
              <w:spacing w:line="240" w:lineRule="auto" w:after="0"/>
              <w:jc w:val="left"/>
            </w:pPr>
            <w:r>
              <w:rPr>
                <w:rFonts w:ascii="Times New Roman" w:hAnsi="Times New Roman"/>
                <w:b w:val="0"/>
                <w:i w:val="0"/>
                <w:sz w:val="20"/>
              </w:rPr>
              <w:t>Arena</w:t>
            </w:r>
          </w:p>
        </w:tc>
        <w:tc>
          <w:tcPr>
            <w:tcW w:type="dxa" w:w="1440"/>
          </w:tcPr>
          <w:p>
            <w:pPr>
              <w:keepNext/>
              <w:spacing w:line="240" w:lineRule="auto" w:after="0"/>
              <w:jc w:val="right"/>
            </w:pPr>
            <w:r>
              <w:rPr>
                <w:rFonts w:ascii="Times New Roman" w:hAnsi="Times New Roman"/>
                <w:b w:val="0"/>
                <w:i w:val="0"/>
                <w:sz w:val="20"/>
              </w:rPr>
              <w:t>Policies</w:t>
            </w:r>
          </w:p>
        </w:tc>
        <w:tc>
          <w:tcPr>
            <w:tcW w:type="dxa" w:w="1440"/>
          </w:tcPr>
          <w:p>
            <w:pPr>
              <w:keepNext/>
              <w:spacing w:line="240" w:lineRule="auto" w:after="0"/>
              <w:jc w:val="right"/>
            </w:pPr>
            <w:r>
              <w:rPr>
                <w:rFonts w:ascii="Times New Roman" w:hAnsi="Times New Roman"/>
                <w:b w:val="0"/>
                <w:i w:val="0"/>
                <w:sz w:val="20"/>
              </w:rPr>
              <w:t>Policies</w:t>
            </w:r>
          </w:p>
        </w:tc>
        <w:tc>
          <w:tcPr>
            <w:tcW w:type="dxa" w:w="1440"/>
          </w:tcPr>
          <w:p>
            <w:pPr>
              <w:keepNext/>
              <w:spacing w:line="240" w:lineRule="auto" w:after="0"/>
              <w:jc w:val="right"/>
            </w:pPr>
          </w:p>
        </w:tc>
        <w:tc>
          <w:tcPr>
            <w:tcW w:type="dxa" w:w="1440"/>
          </w:tcPr>
          <w:p>
            <w:pPr>
              <w:keepNext/>
              <w:spacing w:line="240" w:lineRule="auto" w:after="0"/>
              <w:jc w:val="right"/>
            </w:pPr>
          </w:p>
        </w:tc>
      </w:tr>
      <w:tr>
        <w:trPr>
          <w:cantSplit/>
        </w:trPr>
        <w:tc>
          <w:tcPr>
            <w:tcW w:type="dxa" w:w="9360"/>
            <w:gridSpan w:val="5"/>
            <w:tcBorders>
              <w:top w:val="single" w:sz="4" w:space="0" w:color="000000"/>
            </w:tcBorders>
          </w:tcPr>
          <w:p>
            <w:pPr>
              <w:keepNext/>
              <w:spacing w:line="240" w:lineRule="auto" w:after="0"/>
              <w:jc w:val="left"/>
            </w:pPr>
            <w:r>
              <w:rPr>
                <w:rFonts w:ascii="Times New Roman" w:hAnsi="Times New Roman"/>
                <w:b w:val="0"/>
                <w:i/>
                <w:sz w:val="20"/>
              </w:rPr>
              <w:t>Markets won on operating cost, of 29</w:t>
            </w:r>
          </w:p>
        </w:tc>
      </w:tr>
      <w:tr>
        <w:trPr>
          <w:cantSplit/>
        </w:trPr>
        <w:tc>
          <w:tcPr>
            <w:tcW w:type="dxa" w:w="3600"/>
          </w:tcPr>
          <w:p>
            <w:pPr>
              <w:keepNext/>
              <w:spacing w:line="240" w:lineRule="auto" w:after="0"/>
              <w:jc w:val="left"/>
            </w:pPr>
            <w:r>
              <w:rPr>
                <w:rFonts w:ascii="Times New Roman" w:hAnsi="Times New Roman"/>
                <w:b w:val="0"/>
                <w:i w:val="0"/>
                <w:sz w:val="20"/>
              </w:rPr>
              <w:t>Building winter peak</w:t>
            </w:r>
            <w:r>
              <w:rPr>
                <w:rFonts w:ascii="Times New Roman" w:hAnsi="Times New Roman"/>
                <w:b w:val="0"/>
                <w:i w:val="0"/>
                <w:sz w:val="20"/>
                <w:vertAlign w:val="superscript"/>
              </w:rPr>
              <w:t>a</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2</w:t>
            </w:r>
          </w:p>
        </w:tc>
        <w:tc>
          <w:tcPr>
            <w:tcW w:type="dxa" w:w="1440"/>
          </w:tcPr>
          <w:p>
            <w:pPr>
              <w:keepNext/>
              <w:spacing w:line="240" w:lineRule="auto" w:after="0"/>
              <w:jc w:val="right"/>
            </w:pPr>
            <w:r>
              <w:rPr>
                <w:rFonts w:ascii="Times New Roman" w:hAnsi="Times New Roman"/>
                <w:b w:val="0"/>
                <w:i w:val="0"/>
                <w:sz w:val="20"/>
              </w:rPr>
              <w:t>7</w:t>
            </w:r>
          </w:p>
        </w:tc>
        <w:tc>
          <w:tcPr>
            <w:tcW w:type="dxa" w:w="1440"/>
          </w:tcPr>
          <w:p>
            <w:pPr>
              <w:keepNext/>
              <w:spacing w:line="240" w:lineRule="auto" w:after="0"/>
              <w:jc w:val="right"/>
            </w:pPr>
            <w:r>
              <w:rPr>
                <w:rFonts w:ascii="Times New Roman" w:hAnsi="Times New Roman"/>
                <w:b w:val="0"/>
                <w:i w:val="0"/>
                <w:sz w:val="20"/>
              </w:rPr>
              <w:t>14</w:t>
            </w:r>
          </w:p>
        </w:tc>
      </w:tr>
      <w:tr>
        <w:trPr>
          <w:cantSplit/>
        </w:trPr>
        <w:tc>
          <w:tcPr>
            <w:tcW w:type="dxa" w:w="3600"/>
          </w:tcPr>
          <w:p>
            <w:pPr>
              <w:keepNext/>
              <w:spacing w:line="240" w:lineRule="auto" w:after="0"/>
              <w:jc w:val="left"/>
            </w:pPr>
            <w:r>
              <w:rPr>
                <w:rFonts w:ascii="Times New Roman" w:hAnsi="Times New Roman"/>
                <w:b w:val="0"/>
                <w:i w:val="0"/>
                <w:sz w:val="20"/>
              </w:rPr>
              <w:t>District-heat peak</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7</w:t>
            </w:r>
          </w:p>
        </w:tc>
        <w:tc>
          <w:tcPr>
            <w:tcW w:type="dxa" w:w="1440"/>
          </w:tcPr>
          <w:p>
            <w:pPr>
              <w:keepNext/>
              <w:spacing w:line="240" w:lineRule="auto" w:after="0"/>
              <w:jc w:val="right"/>
            </w:pPr>
            <w:r>
              <w:rPr>
                <w:rFonts w:ascii="Times New Roman" w:hAnsi="Times New Roman"/>
                <w:b w:val="0"/>
                <w:i w:val="0"/>
                <w:sz w:val="20"/>
              </w:rPr>
              <w:t>7</w:t>
            </w:r>
          </w:p>
        </w:tc>
      </w:tr>
      <w:tr>
        <w:trPr>
          <w:cantSplit/>
        </w:trPr>
        <w:tc>
          <w:tcPr>
            <w:tcW w:type="dxa" w:w="3600"/>
          </w:tcPr>
          <w:p>
            <w:pPr>
              <w:keepNext/>
              <w:spacing w:line="240" w:lineRule="auto" w:after="0"/>
              <w:jc w:val="left"/>
            </w:pPr>
            <w:r>
              <w:rPr>
                <w:rFonts w:ascii="Times New Roman" w:hAnsi="Times New Roman"/>
                <w:b w:val="0"/>
                <w:i w:val="0"/>
                <w:sz w:val="20"/>
              </w:rPr>
              <w:t>Power peaker</w:t>
            </w:r>
            <w:r>
              <w:rPr>
                <w:rFonts w:ascii="Times New Roman" w:hAnsi="Times New Roman"/>
                <w:b w:val="0"/>
                <w:i w:val="0"/>
                <w:sz w:val="20"/>
                <w:vertAlign w:val="superscript"/>
              </w:rPr>
              <w:t>b</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7</w:t>
            </w:r>
          </w:p>
        </w:tc>
        <w:tc>
          <w:tcPr>
            <w:tcW w:type="dxa" w:w="1440"/>
          </w:tcPr>
          <w:p>
            <w:pPr>
              <w:keepNext/>
              <w:spacing w:line="240" w:lineRule="auto" w:after="0"/>
              <w:jc w:val="right"/>
            </w:pPr>
            <w:r>
              <w:rPr>
                <w:rFonts w:ascii="Times New Roman" w:hAnsi="Times New Roman"/>
                <w:b w:val="0"/>
                <w:i w:val="0"/>
                <w:sz w:val="20"/>
              </w:rPr>
              <w:t>7</w:t>
            </w:r>
          </w:p>
        </w:tc>
      </w:tr>
      <w:tr>
        <w:trPr>
          <w:cantSplit/>
        </w:trPr>
        <w:tc>
          <w:tcPr>
            <w:tcW w:type="dxa" w:w="9360"/>
            <w:gridSpan w:val="5"/>
            <w:tcBorders>
              <w:top w:val="single" w:sz="4" w:space="0" w:color="000000"/>
            </w:tcBorders>
          </w:tcPr>
          <w:p>
            <w:pPr>
              <w:keepNext/>
              <w:spacing w:line="240" w:lineRule="auto" w:after="0"/>
              <w:jc w:val="left"/>
            </w:pPr>
            <w:r>
              <w:rPr>
                <w:rFonts w:ascii="Times New Roman" w:hAnsi="Times New Roman"/>
                <w:b w:val="0"/>
                <w:i/>
                <w:sz w:val="20"/>
              </w:rPr>
              <w:t>Power-sector peakers recovering their capital, of 29</w:t>
            </w:r>
          </w:p>
        </w:tc>
      </w:tr>
      <w:tr>
        <w:trPr>
          <w:cantSplit/>
        </w:trPr>
        <w:tc>
          <w:tcPr>
            <w:tcW w:type="dxa" w:w="3600"/>
            <w:tcBorders>
              <w:bottom w:val="single" w:sz="8" w:space="0" w:color="000000"/>
            </w:tcBorders>
          </w:tcPr>
          <w:p>
            <w:pPr>
              <w:keepNext w:val="0"/>
              <w:spacing w:line="240" w:lineRule="auto" w:after="0"/>
              <w:jc w:val="left"/>
            </w:pPr>
            <w:r>
              <w:rPr>
                <w:rFonts w:ascii="Times New Roman" w:hAnsi="Times New Roman"/>
                <w:b w:val="0"/>
                <w:i w:val="0"/>
                <w:sz w:val="20"/>
              </w:rPr>
              <w:t>Any scenario</w:t>
            </w:r>
          </w:p>
        </w:tc>
        <w:tc>
          <w:tcPr>
            <w:tcW w:type="dxa" w:w="1440"/>
            <w:tcBorders>
              <w:bottom w:val="single" w:sz="8" w:space="0" w:color="000000"/>
            </w:tcBorders>
          </w:tcPr>
          <w:p>
            <w:pPr>
              <w:keepNext w:val="0"/>
              <w:spacing w:line="240" w:lineRule="auto" w:after="0"/>
              <w:jc w:val="right"/>
            </w:pPr>
            <w:r>
              <w:rPr>
                <w:rFonts w:ascii="Times New Roman" w:hAnsi="Times New Roman"/>
                <w:b w:val="0"/>
                <w:i w:val="0"/>
                <w:sz w:val="20"/>
              </w:rPr>
              <w:t>0</w:t>
            </w:r>
          </w:p>
        </w:tc>
        <w:tc>
          <w:tcPr>
            <w:tcW w:type="dxa" w:w="1440"/>
            <w:tcBorders>
              <w:bottom w:val="single" w:sz="8" w:space="0" w:color="000000"/>
            </w:tcBorders>
          </w:tcPr>
          <w:p>
            <w:pPr>
              <w:keepNext w:val="0"/>
              <w:spacing w:line="240" w:lineRule="auto" w:after="0"/>
              <w:jc w:val="right"/>
            </w:pPr>
            <w:r>
              <w:rPr>
                <w:rFonts w:ascii="Times New Roman" w:hAnsi="Times New Roman"/>
                <w:b w:val="0"/>
                <w:i w:val="0"/>
                <w:sz w:val="20"/>
              </w:rPr>
              <w:t>0</w:t>
            </w:r>
          </w:p>
        </w:tc>
        <w:tc>
          <w:tcPr>
            <w:tcW w:type="dxa" w:w="1440"/>
            <w:tcBorders>
              <w:bottom w:val="single" w:sz="8" w:space="0" w:color="000000"/>
            </w:tcBorders>
          </w:tcPr>
          <w:p>
            <w:pPr>
              <w:keepNext w:val="0"/>
              <w:spacing w:line="240" w:lineRule="auto" w:after="0"/>
              <w:jc w:val="right"/>
            </w:pPr>
            <w:r>
              <w:rPr>
                <w:rFonts w:ascii="Times New Roman" w:hAnsi="Times New Roman"/>
                <w:b w:val="0"/>
                <w:i w:val="0"/>
                <w:sz w:val="20"/>
              </w:rPr>
              <w:t>0</w:t>
            </w:r>
          </w:p>
        </w:tc>
        <w:tc>
          <w:tcPr>
            <w:tcW w:type="dxa" w:w="1440"/>
            <w:tcBorders>
              <w:bottom w:val="single" w:sz="8" w:space="0" w:color="000000"/>
            </w:tcBorders>
          </w:tcPr>
          <w:p>
            <w:pPr>
              <w:keepNext w:val="0"/>
              <w:spacing w:line="240" w:lineRule="auto" w:after="0"/>
              <w:jc w:val="right"/>
            </w:pPr>
            <w:r>
              <w:rPr>
                <w:rFonts w:ascii="Times New Roman" w:hAnsi="Times New Roman"/>
                <w:b w:val="0"/>
                <w:i w:val="0"/>
                <w:sz w:val="20"/>
              </w:rPr>
              <w:t>0</w:t>
            </w:r>
          </w:p>
        </w:tc>
      </w:tr>
    </w:tbl>
    <w:bookmarkEnd w:id="41"/>
    <w:p>
      <w:pPr>
        <w:pStyle w:val="BodyText"/>
        <w:spacing w:before="120"/>
        <w:jc w:val="left"/>
      </w:pPr>
      <w:r>
        <w:rPr>
          <w:rFonts w:ascii="Times New Roman" w:hAnsi="Times New Roman"/>
          <w:sz w:val="24"/>
          <w:vertAlign w:val="superscript"/>
        </w:rPr>
        <w:t xml:space="preserve">a</w:t>
      </w:r>
      <w:r>
        <w:rPr>
          <w:rFonts w:ascii="Times New Roman" w:hAnsi="Times New Roman"/>
          <w:sz w:val="24"/>
        </w:rPr>
        <w:t xml:space="preserve"> </w:t>
      </w:r>
      <w:r>
        <w:rPr>
          <w:rFonts w:ascii="Times New Roman" w:hAnsi="Times New Roman"/>
          <w:sz w:val="24"/>
        </w:rPr>
        <w:t xml:space="preserve">Computed on the uncoupled series, which prices each country’s</w:t>
      </w:r>
      <w:r>
        <w:rPr>
          <w:rFonts w:ascii="Times New Roman" w:hAnsi="Times New Roman"/>
          <w:sz w:val="24"/>
        </w:rPr>
        <w:t xml:space="preserve"> </w:t>
      </w:r>
      <w:r>
        <w:rPr>
          <w:rFonts w:ascii="Times New Roman" w:hAnsi="Times New Roman"/>
          <w:sz w:val="24"/>
        </w:rPr>
        <w:t xml:space="preserve">heat-pump peak without crediting a national reservoir fleet. Crediting Switzerland’s</w:t>
      </w:r>
      <w:r>
        <w:rPr>
          <w:rFonts w:ascii="Times New Roman" w:hAnsi="Times New Roman"/>
          <w:sz w:val="24"/>
        </w:rPr>
        <w:t xml:space="preserve"> </w:t>
      </w:r>
      <w:r>
        <w:rPr>
          <w:rFonts w:ascii="Times New Roman" w:hAnsi="Times New Roman"/>
          <w:sz w:val="24"/>
        </w:rPr>
        <w:t xml:space="preserve">removes it from the H2 Push count of 14 (Section 3.6).</w:t>
      </w:r>
      <w:r>
        <w:rPr>
          <w:rFonts w:ascii="Times New Roman" w:hAnsi="Times New Roman"/>
          <w:sz w:val="24"/>
        </w:rPr>
        <w:br/>
      </w:r>
      <w:r>
        <w:rPr>
          <w:rFonts w:ascii="Times New Roman" w:hAnsi="Times New Roman"/>
          <w:sz w:val="24"/>
          <w:vertAlign w:val="superscript"/>
        </w:rPr>
        <w:t xml:space="preserve">b</w:t>
      </w:r>
      <w:r>
        <w:rPr>
          <w:rFonts w:ascii="Times New Roman" w:hAnsi="Times New Roman"/>
          <w:sz w:val="24"/>
        </w:rPr>
        <w:t xml:space="preserve"> </w:t>
      </w:r>
      <w:r>
        <w:rPr>
          <w:rFonts w:ascii="Times New Roman" w:hAnsi="Times New Roman"/>
          <w:sz w:val="24"/>
        </w:rPr>
        <w:t xml:space="preserve">The power arena is the seven salt-cavern markets.</w:t>
      </w:r>
      <w:r>
        <w:rPr>
          <w:rFonts w:ascii="Times New Roman" w:hAnsi="Times New Roman"/>
          <w:sz w:val="24"/>
        </w:rPr>
        <w:br/>
      </w: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every row charges both carriers alike. Under the sensitivity excluding hydrogen last-mile distribution and using the residential rather than wholesale gas tariff, the building-peak and district-heat rows read 0, 4, 9, 16 and 0, 5, 11, 20.</w:t>
      </w:r>
      <w:r>
        <w:rPr>
          <w:rFonts w:ascii="Times New Roman" w:hAnsi="Times New Roman"/>
          <w:sz w:val="24"/>
        </w:rPr>
        <w:br/>
      </w: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per-arena detail is in Supplementary Table S7.</w:t>
      </w:r>
      <w:r>
        <w:rPr>
          <w:rFonts w:ascii="Times New Roman" w:hAnsi="Times New Roman"/>
          <w:sz w:val="24"/>
        </w:rPr>
        <w:br/>
      </w:r>
      <w:r>
        <w:rPr>
          <w:rFonts w:ascii="Times New Roman" w:hAnsi="Times New Roman"/>
          <w:i/>
          <w:iCs/>
          <w:sz w:val="24"/>
        </w:rPr>
        <w:t xml:space="preserve">Source: Authors’ contribution.</w:t>
      </w:r>
    </w:p>
    <w:p>
      <w:pPr>
        <w:pStyle w:val="BodyText"/>
      </w:pPr>
      <w:r>
        <w:rPr>
          <w:rFonts w:ascii="Times New Roman" w:hAnsi="Times New Roman"/>
          <w:sz w:val="24"/>
        </w:rPr>
        <w:t xml:space="preserve">Three caveats bound this reading, each widening the recovery without reversing the sign</w:t>
      </w:r>
      <w:r>
        <w:rPr>
          <w:rFonts w:ascii="Times New Roman" w:hAnsi="Times New Roman"/>
          <w:sz w:val="24"/>
        </w:rPr>
        <w:t xml:space="preserve"> </w:t>
      </w:r>
      <w:r>
        <w:rPr>
          <w:rFonts w:ascii="Times New Roman" w:hAnsi="Times New Roman"/>
          <w:sz w:val="24"/>
        </w:rPr>
        <w:t xml:space="preserve">(Supplementary Section S2.9). The first is that the 278 GW requirement and the</w:t>
      </w:r>
      <w:r>
        <w:rPr>
          <w:rFonts w:ascii="Times New Roman" w:hAnsi="Times New Roman"/>
          <w:sz w:val="24"/>
        </w:rPr>
        <w:t xml:space="preserve"> </w:t>
      </w:r>
      <w:r>
        <w:rPr>
          <w:rFonts w:ascii="Times New Roman" w:hAnsi="Times New Roman"/>
          <w:sz w:val="24"/>
        </w:rPr>
        <w:t xml:space="preserve">€357 bn shortfall assume an inflexible heat load; smoothing lowers the requirement</w:t>
      </w:r>
      <w:r>
        <w:rPr>
          <w:rFonts w:ascii="Times New Roman" w:hAnsi="Times New Roman"/>
          <w:sz w:val="24"/>
        </w:rPr>
        <w:t xml:space="preserve"> </w:t>
      </w:r>
      <w:r>
        <w:rPr>
          <w:rFonts w:ascii="Times New Roman" w:hAnsi="Times New Roman"/>
          <w:sz w:val="24"/>
        </w:rPr>
        <w:t xml:space="preserve">to 248.0–265.6 GW at the most generous corner, and the assumed event length alone</w:t>
      </w:r>
      <w:r>
        <w:rPr>
          <w:rFonts w:ascii="Times New Roman" w:hAnsi="Times New Roman"/>
          <w:sz w:val="24"/>
        </w:rPr>
        <w:t xml:space="preserve"> </w:t>
      </w:r>
      <w:r>
        <w:rPr>
          <w:rFonts w:ascii="Times New Roman" w:hAnsi="Times New Roman"/>
          <w:sz w:val="24"/>
        </w:rPr>
        <w:t xml:space="preserve">carries</w:t>
      </w:r>
      <w:r>
        <w:rPr>
          <w:rFonts w:ascii="Times New Roman" w:hAnsi="Times New Roman"/>
          <w:sz w:val="24"/>
        </w:rPr>
        <w:t xml:space="preserve"> </w:t>
      </w:r>
      <w:r>
        <w:t xml:space="preserve">±</w:t>
      </w:r>
      <w:r>
        <w:rPr>
          <w:rFonts w:ascii="Times New Roman" w:hAnsi="Times New Roman"/>
          <w:sz w:val="24"/>
        </w:rPr>
        <w:t xml:space="preserve">9 per cent (Supplementary Tables S9 and S10). The second</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is that 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makes the verdict partly definitional for any</w:t>
      </w:r>
      <w:r>
        <w:rPr>
          <w:rFonts w:ascii="Times New Roman" w:hAnsi="Times New Roman"/>
          <w:sz w:val="24"/>
        </w:rPr>
        <w:t xml:space="preserve"> </w:t>
      </w:r>
      <w:r>
        <w:rPr>
          <w:rFonts w:ascii="Times New Roman" w:hAnsi="Times New Roman"/>
          <w:sz w:val="24"/>
        </w:rPr>
        <w:t xml:space="preserve">low-utilisation peaker, since the storage adder and the delivered hydrogen price both</w:t>
      </w:r>
      <w:r>
        <w:rPr>
          <w:rFonts w:ascii="Times New Roman" w:hAnsi="Times New Roman"/>
          <w:sz w:val="24"/>
        </w:rPr>
        <w:t xml:space="preserve"> </w:t>
      </w:r>
      <w:r>
        <w:rPr>
          <w:rFonts w:ascii="Times New Roman" w:hAnsi="Times New Roman"/>
          <w:sz w:val="24"/>
        </w:rPr>
        <w:t xml:space="preserve">cancel from the rent, leaving it invariant to the very storage condition that decides</w:t>
      </w:r>
      <w:r>
        <w:rPr>
          <w:rFonts w:ascii="Times New Roman" w:hAnsi="Times New Roman"/>
          <w:sz w:val="24"/>
        </w:rPr>
        <w:t xml:space="preserve"> </w:t>
      </w:r>
      <w:r>
        <w:rPr>
          <w:rFonts w:ascii="Times New Roman" w:hAnsi="Times New Roman"/>
          <w:sz w:val="24"/>
        </w:rPr>
        <w:t xml:space="preserve">the other two tests. It is also exactly linear in</w:t>
      </w:r>
      <w:r>
        <w:rPr>
          <w:rFonts w:ascii="Times New Roman" w:hAnsi="Times New Roman"/>
          <w:sz w:val="24"/>
        </w:rPr>
        <w:t xml:space="preserve"> </w:t>
      </w:r>
      <m:oMath>
        <m:sSup>
          <m:e>
            <m:r>
              <m:t>π</m:t>
            </m:r>
          </m:e>
          <m:sup>
            <m:r>
              <m:rPr>
                <m:sty m:val="p"/>
              </m:rPr>
              <m:t>s</m:t>
            </m:r>
          </m:sup>
        </m:sSup>
      </m:oMath>
      <w:r>
        <w:rPr>
          <w:rFonts w:ascii="Times New Roman" w:hAnsi="Times New Roman"/>
          <w:sz w:val="24"/>
        </w:rPr>
        <w:t xml:space="preserve">, and across the €30, 60, 90 and 120/MWh grid, capacity-weighted recovery runs 4.4, 8.7, 13.1 and</w:t>
      </w:r>
      <w:r>
        <w:rPr>
          <w:rFonts w:ascii="Times New Roman" w:hAnsi="Times New Roman"/>
          <w:sz w:val="24"/>
        </w:rPr>
        <w:t xml:space="preserve"> </w:t>
      </w:r>
      <w:r>
        <w:rPr>
          <w:rFonts w:ascii="Times New Roman" w:hAnsi="Times New Roman"/>
          <w:sz w:val="24"/>
        </w:rPr>
        <w:t xml:space="preserve">17.4 per cent. Pricing the three shortage hours the sizing standard imposes at the</w:t>
      </w:r>
      <w:r>
        <w:rPr>
          <w:rFonts w:ascii="Times New Roman" w:hAnsi="Times New Roman"/>
          <w:sz w:val="24"/>
        </w:rPr>
        <w:t xml:space="preserve"> </w:t>
      </w:r>
      <w:r>
        <w:rPr>
          <w:rFonts w:ascii="Times New Roman" w:hAnsi="Times New Roman"/>
          <w:sz w:val="24"/>
        </w:rPr>
        <w:t xml:space="preserve">model’s own €8</w:t>
      </w:r>
      <w:r>
        <w:rPr>
          <w:rFonts w:ascii="Times New Roman" w:hAnsi="Times New Roman"/>
          <w:sz w:val="24"/>
        </w:rPr>
        <w:t xml:space="preserve">,</w:t>
      </w:r>
      <w:r>
        <w:rPr>
          <w:rFonts w:ascii="Times New Roman" w:hAnsi="Times New Roman"/>
          <w:sz w:val="24"/>
        </w:rPr>
        <w:t xml:space="preserve">000/MWh value of lost load, which is paid to no generator here,</w:t>
      </w:r>
      <w:r>
        <w:rPr>
          <w:rFonts w:ascii="Times New Roman" w:hAnsi="Times New Roman"/>
          <w:sz w:val="24"/>
        </w:rPr>
        <w:t xml:space="preserve"> </w:t>
      </w:r>
      <w:r>
        <w:rPr>
          <w:rFonts w:ascii="Times New Roman" w:hAnsi="Times New Roman"/>
          <w:sz w:val="24"/>
        </w:rPr>
        <w:t xml:space="preserve">raises capacity-weighted recovery from 8.7 per cent to about 51 per cent. Recovery</w:t>
      </w:r>
      <w:r>
        <w:rPr>
          <w:rFonts w:ascii="Times New Roman" w:hAnsi="Times New Roman"/>
          <w:sz w:val="24"/>
        </w:rPr>
        <w:t xml:space="preserve"> </w:t>
      </w:r>
      <w:r>
        <w:rPr>
          <w:rFonts w:ascii="Times New Roman" w:hAnsi="Times New Roman"/>
          <w:sz w:val="24"/>
        </w:rPr>
        <w:t xml:space="preserve">remains below 100 per cent, but its estimated magnitude is therefore sensitive to the</w:t>
      </w:r>
      <w:r>
        <w:rPr>
          <w:rFonts w:ascii="Times New Roman" w:hAnsi="Times New Roman"/>
          <w:sz w:val="24"/>
        </w:rPr>
        <w:t xml:space="preserve"> </w:t>
      </w:r>
      <w:r>
        <w:rPr>
          <w:rFonts w:ascii="Times New Roman" w:hAnsi="Times New Roman"/>
          <w:sz w:val="24"/>
        </w:rPr>
        <w:t xml:space="preserve">treatment of shortage hours.</w:t>
      </w:r>
    </w:p>
    <w:p>
      <w:pPr>
        <w:pStyle w:val="BodyText"/>
      </w:pPr>
      <w:r>
        <w:rPr>
          <w:rFonts w:ascii="Times New Roman" w:hAnsi="Times New Roman"/>
          <w:sz w:val="24"/>
        </w:rPr>
        <w:t xml:space="preserve">Third, the modelled energy-only scarcity-margin screen does not represent any single real</w:t>
      </w:r>
      <w:r>
        <w:rPr>
          <w:rFonts w:ascii="Times New Roman" w:hAnsi="Times New Roman"/>
          <w:sz w:val="24"/>
        </w:rPr>
        <w:t xml:space="preserve"> </w:t>
      </w:r>
      <w:r>
        <w:rPr>
          <w:rFonts w:ascii="Times New Roman" w:hAnsi="Times New Roman"/>
          <w:sz w:val="24"/>
        </w:rPr>
        <w:t xml:space="preserve">market, and three of the seven markets already operate a capacity mechanism</w:t>
      </w:r>
      <w:r>
        <w:rPr>
          <w:rFonts w:ascii="Times New Roman" w:hAnsi="Times New Roman"/>
          <w:sz w:val="24"/>
        </w:rPr>
        <w:t xml:space="preserve"> </w:t>
      </w:r>
      <w:r>
        <w:rPr>
          <w:rFonts w:ascii="Times New Roman" w:hAnsi="Times New Roman"/>
          <w:sz w:val="24"/>
        </w:rPr>
        <w:t xml:space="preserve">[65]</w:t>
      </w:r>
      <w:r>
        <w:rPr>
          <w:rFonts w:ascii="Times New Roman" w:hAnsi="Times New Roman"/>
          <w:sz w:val="24"/>
        </w:rPr>
        <w:t xml:space="preserve">. European law already includes an emissions condition, but it</w:t>
      </w:r>
      <w:r>
        <w:rPr>
          <w:rFonts w:ascii="Times New Roman" w:hAnsi="Times New Roman"/>
          <w:sz w:val="24"/>
        </w:rPr>
        <w:t xml:space="preserve"> </w:t>
      </w:r>
      <w:r>
        <w:rPr>
          <w:rFonts w:ascii="Times New Roman" w:hAnsi="Times New Roman"/>
          <w:sz w:val="24"/>
        </w:rPr>
        <w:t xml:space="preserve">does not bind for a 2050 build under the model assumptions. Article 22(4) of the</w:t>
      </w:r>
      <w:r>
        <w:rPr>
          <w:rFonts w:ascii="Times New Roman" w:hAnsi="Times New Roman"/>
          <w:sz w:val="24"/>
        </w:rPr>
        <w:t xml:space="preserve"> </w:t>
      </w:r>
      <w:r>
        <w:rPr>
          <w:rFonts w:ascii="Times New Roman" w:hAnsi="Times New Roman"/>
          <w:sz w:val="24"/>
        </w:rPr>
        <w:t xml:space="preserve">Electricity Regulation caps a mechanism’s payments at 550 gCO</w:t>
      </w:r>
      <w:r>
        <w:rPr>
          <w:vertAlign w:val="subscript"/>
        </w:rPr>
        <w:t xml:space="preserve">2</w:t>
      </w:r>
      <w:r>
        <w:rPr>
          <w:rFonts w:ascii="Times New Roman" w:hAnsi="Times New Roman"/>
          <w:sz w:val="24"/>
        </w:rPr>
        <w:t xml:space="preserve">/kWh-e and adds a</w:t>
      </w:r>
      <w:r>
        <w:rPr>
          <w:rFonts w:ascii="Times New Roman" w:hAnsi="Times New Roman"/>
          <w:sz w:val="24"/>
        </w:rPr>
        <w:t xml:space="preserve"> </w:t>
      </w:r>
      <w:r>
        <w:rPr>
          <w:rFonts w:ascii="Times New Roman" w:hAnsi="Times New Roman"/>
          <w:sz w:val="24"/>
        </w:rPr>
        <w:t xml:space="preserve">350 kgCO</w:t>
      </w:r>
      <w:r>
        <w:rPr>
          <w:vertAlign w:val="subscript"/>
        </w:rPr>
        <w:t xml:space="preserve">2</w:t>
      </w:r>
      <w:r>
        <w:rPr>
          <w:rFonts w:ascii="Times New Roman" w:hAnsi="Times New Roman"/>
          <w:sz w:val="24"/>
        </w:rPr>
        <w:t xml:space="preserve">/kWe-yr annual limb that reaches only capacity commissioned before July 2019</w:t>
      </w:r>
      <w:r>
        <w:rPr>
          <w:rFonts w:ascii="Times New Roman" w:hAnsi="Times New Roman"/>
          <w:sz w:val="24"/>
        </w:rPr>
        <w:t xml:space="preserve"> </w:t>
      </w:r>
      <w:r>
        <w:rPr>
          <w:rFonts w:ascii="Times New Roman" w:hAnsi="Times New Roman"/>
          <w:sz w:val="24"/>
        </w:rPr>
        <w:t xml:space="preserve">[66]</w:t>
      </w:r>
      <w:r>
        <w:rPr>
          <w:rFonts w:ascii="Times New Roman" w:hAnsi="Times New Roman"/>
          <w:sz w:val="24"/>
        </w:rPr>
        <w:t xml:space="preserve">. A 2050 build therefore faces the rate limb alone.</w:t>
      </w:r>
      <w:r>
        <w:rPr>
          <w:rFonts w:ascii="Times New Roman" w:hAnsi="Times New Roman"/>
          <w:sz w:val="24"/>
        </w:rPr>
        <w:t xml:space="preserve"> </w:t>
      </w:r>
      <w:r>
        <w:rPr>
          <w:rFonts w:ascii="Times New Roman" w:hAnsi="Times New Roman"/>
          <w:sz w:val="24"/>
        </w:rPr>
        <w:t xml:space="preserve">Using the model’s emission factor, an unabated open-cycle turbine emits about</w:t>
      </w:r>
      <w:r>
        <w:rPr>
          <w:rFonts w:ascii="Times New Roman" w:hAnsi="Times New Roman"/>
          <w:sz w:val="24"/>
        </w:rPr>
        <w:t xml:space="preserve"> </w:t>
      </w:r>
      <w:r>
        <w:rPr>
          <w:rFonts w:ascii="Times New Roman" w:hAnsi="Times New Roman"/>
          <w:sz w:val="24"/>
        </w:rPr>
        <w:t xml:space="preserve">505 gCO</w:t>
      </w:r>
      <w:r>
        <w:rPr>
          <w:vertAlign w:val="subscript"/>
        </w:rPr>
        <w:t xml:space="preserve">2</w:t>
      </w:r>
      <w:r>
        <w:rPr>
          <w:rFonts w:ascii="Times New Roman" w:hAnsi="Times New Roman"/>
          <w:sz w:val="24"/>
        </w:rPr>
        <w:t xml:space="preserve">/kWh-e, below the 550 gCO</w:t>
      </w:r>
      <w:r>
        <w:rPr>
          <w:vertAlign w:val="subscript"/>
        </w:rPr>
        <w:t xml:space="preserve">2</w:t>
      </w:r>
      <w:r>
        <w:rPr>
          <w:rFonts w:ascii="Times New Roman" w:hAnsi="Times New Roman"/>
          <w:sz w:val="24"/>
        </w:rPr>
        <w:t xml:space="preserve">/kWh-e threshold. Article 22(4) therefore does not</w:t>
      </w:r>
      <w:r>
        <w:rPr>
          <w:rFonts w:ascii="Times New Roman" w:hAnsi="Times New Roman"/>
          <w:sz w:val="24"/>
        </w:rPr>
        <w:t xml:space="preserve"> </w:t>
      </w:r>
      <w:r>
        <w:rPr>
          <w:rFonts w:ascii="Times New Roman" w:hAnsi="Times New Roman"/>
          <w:sz w:val="24"/>
        </w:rPr>
        <w:t xml:space="preserve">distinguish between the technologies in this case (Supplementary Section S2.4).</w:t>
      </w:r>
    </w:p>
    <w:p>
      <w:pPr>
        <w:pStyle w:val="BodyText"/>
      </w:pPr>
      <w:r>
        <w:rPr>
          <w:rFonts w:ascii="Times New Roman" w:hAnsi="Times New Roman"/>
          <w:sz w:val="24"/>
        </w:rPr>
        <w:t xml:space="preserve">A deliberate hydrogen-peaker build therefore implies a standing payment, and €31</w:t>
      </w:r>
      <w:r>
        <w:rPr>
          <w:rFonts w:ascii="Times New Roman" w:hAnsi="Times New Roman"/>
          <w:sz w:val="24"/>
        </w:rPr>
        <w:t xml:space="preserve"> </w:t>
      </w:r>
      <w:r>
        <w:rPr>
          <w:rFonts w:ascii="Times New Roman" w:hAnsi="Times New Roman"/>
          <w:sz w:val="24"/>
        </w:rPr>
        <w:t xml:space="preserve">to 63/kW-yr closes the gap for the winning peakers (Supplementary Table S11). That sits below the £60/kW-yr, roughly €70, at which the 2024 British four-year-ahead auction cleared while procuring 27.3 GW of unabated gas out of 43.1 GW</w:t>
      </w:r>
      <w:r>
        <w:rPr>
          <w:rFonts w:ascii="Times New Roman" w:hAnsi="Times New Roman"/>
          <w:sz w:val="24"/>
        </w:rPr>
        <w:t xml:space="preserve"> </w:t>
      </w:r>
      <w:r>
        <w:rPr>
          <w:rFonts w:ascii="Times New Roman" w:hAnsi="Times New Roman"/>
          <w:sz w:val="24"/>
        </w:rPr>
        <w:t xml:space="preserve">[67]</w:t>
      </w:r>
      <w:r>
        <w:rPr>
          <w:rFonts w:ascii="Times New Roman" w:hAnsi="Times New Roman"/>
          <w:sz w:val="24"/>
        </w:rPr>
        <w:t xml:space="preserve">. A clearing price and a modelled revenue requirement are different objects, so this checks magnitude, not validity. A gas peaker in the same</w:t>
      </w:r>
      <w:r>
        <w:rPr>
          <w:rFonts w:ascii="Times New Roman" w:hAnsi="Times New Roman"/>
          <w:sz w:val="24"/>
        </w:rPr>
        <w:t xml:space="preserve"> </w:t>
      </w:r>
      <w:r>
        <w:rPr>
          <w:rFonts w:ascii="Times New Roman" w:hAnsi="Times New Roman"/>
          <w:sz w:val="24"/>
        </w:rPr>
        <w:t xml:space="preserve">markets recovers an even smaller share of its capital, yet needs a smaller payment,</w:t>
      </w:r>
      <w:r>
        <w:rPr>
          <w:rFonts w:ascii="Times New Roman" w:hAnsi="Times New Roman"/>
          <w:sz w:val="24"/>
        </w:rPr>
        <w:t xml:space="preserve"> </w:t>
      </w:r>
      <w:r>
        <w:rPr>
          <w:rFonts w:ascii="Times New Roman" w:hAnsi="Times New Roman"/>
          <w:sz w:val="24"/>
        </w:rPr>
        <w:t xml:space="preserve">€41–52/kW-yr, because a gas turbine costs €450/kW against 600. Weighted by capacity the two are close,</w:t>
      </w:r>
      <w:r>
        <w:rPr>
          <w:rFonts w:ascii="Times New Roman" w:hAnsi="Times New Roman"/>
          <w:sz w:val="24"/>
        </w:rPr>
        <w:t xml:space="preserve"> </w:t>
      </w:r>
      <w:r>
        <w:rPr>
          <w:rFonts w:ascii="Times New Roman" w:hAnsi="Times New Roman"/>
          <w:sz w:val="24"/>
        </w:rPr>
        <w:t xml:space="preserve">€45/kW-yr against 51, and gas is cheaper in four of the five markets that build,</w:t>
      </w:r>
      <w:r>
        <w:rPr>
          <w:rFonts w:ascii="Times New Roman" w:hAnsi="Times New Roman"/>
          <w:sz w:val="24"/>
        </w:rPr>
        <w:t xml:space="preserve"> </w:t>
      </w:r>
      <w:r>
        <w:rPr>
          <w:rFonts w:ascii="Times New Roman" w:hAnsi="Times New Roman"/>
          <w:sz w:val="24"/>
        </w:rPr>
        <w:t xml:space="preserve">so with the hydrogen-ready turbine at</w:t>
      </w:r>
      <w:r>
        <w:rPr>
          <w:rFonts w:ascii="Times New Roman" w:hAnsi="Times New Roman"/>
          <w:sz w:val="24"/>
        </w:rPr>
        <w:t xml:space="preserve"> </w:t>
      </w:r>
      <m:oMath>
        <m:sSup>
          <m:e>
            <m:r>
              <m:t>K</m:t>
            </m:r>
          </m:e>
          <m:sup>
            <m:r>
              <m:rPr>
                <m:sty m:val="p"/>
              </m:rPr>
              <m:t>T</m:t>
            </m:r>
          </m:sup>
        </m:sSup>
      </m:oMath>
      <w:r>
        <w:rPr>
          <w:rFonts w:ascii="Times New Roman" w:hAnsi="Times New Roman"/>
          <w:sz w:val="24"/>
        </w:rPr>
        <w:t xml:space="preserve"> </w:t>
      </w:r>
      <w:r>
        <w:rPr>
          <w:rFonts w:ascii="Times New Roman" w:hAnsi="Times New Roman"/>
          <w:sz w:val="24"/>
        </w:rPr>
        <w:t xml:space="preserve">of €600/kW against €450/kW for gas, a technology-neutral mechanism procures unabated gas ahead of hydrogen, which is what the British auction shows a real</w:t>
      </w:r>
      <w:r>
        <w:rPr>
          <w:rFonts w:ascii="Times New Roman" w:hAnsi="Times New Roman"/>
          <w:sz w:val="24"/>
        </w:rPr>
        <w:t xml:space="preserve"> </w:t>
      </w:r>
      <w:r>
        <w:rPr>
          <w:rFonts w:ascii="Times New Roman" w:hAnsi="Times New Roman"/>
          <w:sz w:val="24"/>
        </w:rPr>
        <w:t xml:space="preserve">mechanism doing.</w:t>
      </w:r>
    </w:p>
    <w:p>
      <w:pPr>
        <w:pStyle w:val="BodyText"/>
      </w:pPr>
      <w:r>
        <w:rPr>
          <w:rFonts w:ascii="Times New Roman" w:hAnsi="Times New Roman"/>
          <w:sz w:val="24"/>
        </w:rPr>
        <w:t xml:space="preserve">That conclusion turns on the capex gap and reverses below about €520–540/kW, a premium of roughly 18 per cent over the gas turbine, and published premia for hydrogen-ready machines straddle it. Above it hydrogen is selected only where the mechanism</w:t>
      </w:r>
      <w:r>
        <w:rPr>
          <w:rFonts w:ascii="Times New Roman" w:hAnsi="Times New Roman"/>
          <w:sz w:val="24"/>
        </w:rPr>
        <w:t xml:space="preserve"> </w:t>
      </w:r>
      <w:r>
        <w:rPr>
          <w:rFonts w:ascii="Times New Roman" w:hAnsi="Times New Roman"/>
          <w:sz w:val="24"/>
        </w:rPr>
        <w:t xml:space="preserve">is conditioned on emissions, and that condition costs the payment difference over the</w:t>
      </w:r>
      <w:r>
        <w:rPr>
          <w:rFonts w:ascii="Times New Roman" w:hAnsi="Times New Roman"/>
          <w:sz w:val="24"/>
        </w:rPr>
        <w:t xml:space="preserve"> </w:t>
      </w:r>
      <w:r>
        <w:rPr>
          <w:rFonts w:ascii="Times New Roman" w:hAnsi="Times New Roman"/>
          <w:sz w:val="24"/>
        </w:rPr>
        <w:t xml:space="preserve">gas generation it displaces, about €172/tCO</w:t>
      </w:r>
      <w:r>
        <w:rPr>
          <w:vertAlign w:val="subscript"/>
        </w:rPr>
        <w:t xml:space="preserve">2</w:t>
      </w:r>
      <w:r>
        <w:rPr>
          <w:rFonts w:ascii="Times New Roman" w:hAnsi="Times New Roman"/>
          <w:sz w:val="24"/>
        </w:rPr>
        <w:t xml:space="preserve"> </w:t>
      </w:r>
      <w:r>
        <w:rPr>
          <w:rFonts w:ascii="Times New Roman" w:hAnsi="Times New Roman"/>
          <w:sz w:val="24"/>
        </w:rPr>
        <w:t xml:space="preserve">on top of the carbon price the gas</w:t>
      </w:r>
      <w:r>
        <w:rPr>
          <w:rFonts w:ascii="Times New Roman" w:hAnsi="Times New Roman"/>
          <w:sz w:val="24"/>
        </w:rPr>
        <w:t xml:space="preserve"> </w:t>
      </w:r>
      <w:r>
        <w:rPr>
          <w:rFonts w:ascii="Times New Roman" w:hAnsi="Times New Roman"/>
          <w:sz w:val="24"/>
        </w:rPr>
        <w:t xml:space="preserve">plant already pays, rising to roughly €239 once the gas unit’s negative rent is</w:t>
      </w:r>
      <w:r>
        <w:rPr>
          <w:rFonts w:ascii="Times New Roman" w:hAnsi="Times New Roman"/>
          <w:sz w:val="24"/>
        </w:rPr>
        <w:t xml:space="preserve"> </w:t>
      </w:r>
      <w:r>
        <w:rPr>
          <w:rFonts w:ascii="Times New Roman" w:hAnsi="Times New Roman"/>
          <w:sz w:val="24"/>
        </w:rPr>
        <w:t xml:space="preserve">floored at zero (Supplementary Section S2.4). Either way the peaking niche opens only where a standing payment of €31–63/kW-yr is in place. Fuel prices and tax incidence leave it unchanged</w:t>
      </w:r>
      <w:r>
        <w:rPr>
          <w:rFonts w:ascii="Times New Roman" w:hAnsi="Times New Roman"/>
          <w:sz w:val="24"/>
        </w:rPr>
        <w:t xml:space="preserve"> </w:t>
      </w:r>
      <w:r>
        <w:rPr>
          <w:rFonts w:ascii="Times New Roman" w:hAnsi="Times New Roman"/>
          <w:sz w:val="24"/>
        </w:rPr>
        <w:t xml:space="preserve">but move which markets reach it.</w:t>
      </w:r>
    </w:p>
    <w:bookmarkEnd w:id="42"/>
    <w:bookmarkStart w:id="43" w:name="sec:results:costopt"/>
    <w:p>
      <w:pPr>
        <w:pStyle w:val="Heading2"/>
      </w:pPr>
      <w:r>
        <w:rPr>
          <w:rStyle w:val="SectionNumber"/>
          <w:rFonts w:ascii="Times New Roman" w:hAnsi="Times New Roman"/>
          <w:sz w:val="24"/>
        </w:rPr>
        <w:t xml:space="preserve">3.5</w:t>
      </w:r>
      <w:r>
        <w:rPr>
          <w:rFonts w:ascii="Times New Roman" w:hAnsi="Times New Roman"/>
          <w:sz w:val="24"/>
        </w:rPr>
        <w:tab/>
      </w:r>
      <w:r>
        <w:rPr>
          <w:rFonts w:ascii="Times New Roman" w:hAnsi="Times New Roman"/>
          <w:sz w:val="24"/>
        </w:rPr>
        <w:t xml:space="preserve">Least-cost cross-check and the national carbon cap</w:t>
      </w:r>
    </w:p>
    <w:p>
      <w:pPr>
        <w:pStyle w:val="FirstParagraph"/>
      </w:pPr>
      <w:r>
        <w:rPr>
          <w:rFonts w:ascii="Times New Roman" w:hAnsi="Times New Roman"/>
          <w:sz w:val="24"/>
        </w:rPr>
        <w:t xml:space="preserve">The four scenarios impose technology shares, so a parallel least-cost linear program</w:t>
      </w:r>
      <w:r>
        <w:rPr>
          <w:rFonts w:ascii="Times New Roman" w:hAnsi="Times New Roman"/>
          <w:sz w:val="24"/>
        </w:rPr>
        <w:t xml:space="preserve"> </w:t>
      </w:r>
      <w:r>
        <w:rPr>
          <w:rFonts w:ascii="Times New Roman" w:hAnsi="Times New Roman"/>
          <w:sz w:val="24"/>
        </w:rPr>
        <w:t xml:space="preserve">minimising supply cost against a fixed demand path and a scope-1 emissions cap</w:t>
      </w:r>
      <w:r>
        <w:rPr>
          <w:rFonts w:ascii="Times New Roman" w:hAnsi="Times New Roman"/>
          <w:sz w:val="24"/>
        </w:rPr>
        <w:t xml:space="preserve"> </w:t>
      </w:r>
      <w:r>
        <w:rPr>
          <w:rFonts w:ascii="Times New Roman" w:hAnsi="Times New Roman"/>
          <w:sz w:val="24"/>
        </w:rPr>
        <w:t xml:space="preserve">(Section 2) asks what a cost minimiser would choose. At the</w:t>
      </w:r>
      <w:r>
        <w:rPr>
          <w:rFonts w:ascii="Times New Roman" w:hAnsi="Times New Roman"/>
          <w:sz w:val="24"/>
        </w:rPr>
        <w:t xml:space="preserve"> </w:t>
      </w:r>
      <w:r>
        <w:t xml:space="preserve">−90</w:t>
      </w:r>
      <w:r>
        <w:rPr>
          <w:rFonts w:ascii="Times New Roman" w:hAnsi="Times New Roman"/>
          <w:sz w:val="24"/>
        </w:rPr>
        <w:t xml:space="preserve"> per cent cap the 2050 least-cost mix is 52.9 per cent district heat, 45.4 per cent heat pumps, 1.4 per cent residual gas and 0.34 per cent hydrogen, but the program’s per-country hydrogen ceiling is zero in 27 of the 29 and it selects that ceiling exactly in the other two. The resulting mix informs the comparison between district heat and heat pumps, but not hydrogen, because hydrogen is fixed at zero in 27 countries and at its ceiling in the other two. The 52.9 per cent district-heat share is the least-cost solution conditional on excluding new-connection costs, and not an unconstrained system optimum. Supplementary Section S2.8 reports three interpretive bounds. The largest limitation is the omitted district-heat connection charge. The €21.0/MWh of Section 3.2 sits outside this objective, so 52.9 per cent is a share under that boundary, not an optimum.</w:t>
      </w:r>
    </w:p>
    <w:p>
      <w:pPr>
        <w:pStyle w:val="BodyText"/>
      </w:pPr>
      <w:r>
        <w:rPr>
          <w:rFonts w:ascii="Times New Roman" w:hAnsi="Times New Roman"/>
          <w:sz w:val="24"/>
        </w:rPr>
        <w:t xml:space="preserve">The discounted present-value system cost differs by only 0.05 per cent between the</w:t>
      </w:r>
      <w:r>
        <w:rPr>
          <w:rFonts w:ascii="Times New Roman" w:hAnsi="Times New Roman"/>
          <w:sz w:val="24"/>
        </w:rPr>
        <w:t xml:space="preserve"> </w:t>
      </w:r>
      <w:r>
        <w:t xml:space="preserve">−75</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t xml:space="preserve">−100</w:t>
      </w:r>
      <w:r>
        <w:rPr>
          <w:rFonts w:ascii="Times New Roman" w:hAnsi="Times New Roman"/>
          <w:sz w:val="24"/>
        </w:rPr>
        <w:t xml:space="preserve"> per cent caps under this formulation. The carbon price does not do the work everywhere, since the cap binds in Cyprus, Croatia,</w:t>
      </w:r>
      <w:r>
        <w:rPr>
          <w:rFonts w:ascii="Times New Roman" w:hAnsi="Times New Roman"/>
          <w:sz w:val="24"/>
        </w:rPr>
        <w:t xml:space="preserve"> </w:t>
      </w:r>
      <w:r>
        <w:rPr>
          <w:rFonts w:ascii="Times New Roman" w:hAnsi="Times New Roman"/>
          <w:sz w:val="24"/>
        </w:rPr>
        <w:t xml:space="preserve">Poland and the United Kingdom in 2050 at a shadow price of up to €81/tCO</w:t>
      </w:r>
      <w:r>
        <w:rPr>
          <w:vertAlign w:val="subscript"/>
        </w:rPr>
        <w:t xml:space="preserve">2</w:t>
      </w:r>
      <w:r>
        <w:rPr>
          <w:rFonts w:ascii="Times New Roman" w:hAnsi="Times New Roman"/>
          <w:sz w:val="24"/>
        </w:rPr>
        <w:t xml:space="preserve">, and</w:t>
      </w:r>
      <w:r>
        <w:rPr>
          <w:rFonts w:ascii="Times New Roman" w:hAnsi="Times New Roman"/>
          <w:sz w:val="24"/>
        </w:rPr>
        <w:t xml:space="preserve"> </w:t>
      </w:r>
      <w:r>
        <w:rPr>
          <w:rFonts w:ascii="Times New Roman" w:hAnsi="Times New Roman"/>
          <w:sz w:val="24"/>
        </w:rPr>
        <w:t xml:space="preserve">in seven countries at some point on the path. That cap is national while ETS2 is a</w:t>
      </w:r>
      <w:r>
        <w:rPr>
          <w:rFonts w:ascii="Times New Roman" w:hAnsi="Times New Roman"/>
          <w:sz w:val="24"/>
        </w:rPr>
        <w:t xml:space="preserve"> </w:t>
      </w:r>
      <w:r>
        <w:rPr>
          <w:rFonts w:ascii="Times New Roman" w:hAnsi="Times New Roman"/>
          <w:sz w:val="24"/>
        </w:rPr>
        <w:t xml:space="preserve">pooled price, so this is the one result on the heating side that argues for an</w:t>
      </w:r>
      <w:r>
        <w:rPr>
          <w:rFonts w:ascii="Times New Roman" w:hAnsi="Times New Roman"/>
          <w:sz w:val="24"/>
        </w:rPr>
        <w:t xml:space="preserve"> </w:t>
      </w:r>
      <w:r>
        <w:rPr>
          <w:rFonts w:ascii="Times New Roman" w:hAnsi="Times New Roman"/>
          <w:sz w:val="24"/>
        </w:rPr>
        <w:t xml:space="preserve">instrument other than a price.</w:t>
      </w:r>
    </w:p>
    <w:bookmarkEnd w:id="43"/>
    <w:bookmarkStart w:id="48" w:name="sec:results:switzerland"/>
    <w:p>
      <w:pPr>
        <w:pStyle w:val="Heading2"/>
      </w:pPr>
      <w:r>
        <w:rPr>
          <w:rStyle w:val="SectionNumber"/>
          <w:rFonts w:ascii="Times New Roman" w:hAnsi="Times New Roman"/>
          <w:sz w:val="24"/>
        </w:rPr>
        <w:t xml:space="preserve">3.6</w:t>
      </w:r>
      <w:r>
        <w:rPr>
          <w:rFonts w:ascii="Times New Roman" w:hAnsi="Times New Roman"/>
          <w:sz w:val="24"/>
        </w:rPr>
        <w:tab/>
      </w:r>
      <w:r>
        <w:rPr>
          <w:rFonts w:ascii="Times New Roman" w:hAnsi="Times New Roman"/>
          <w:sz w:val="24"/>
        </w:rPr>
        <w:t xml:space="preserve">Switzerland as a standalone case</w:t>
      </w:r>
    </w:p>
    <w:p>
      <w:pPr>
        <w:pStyle w:val="FirstParagraph"/>
      </w:pP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fig_7 \h </w:instrText>
      </w:r>
      <w:r>
        <w:rPr>
          <w:rFonts w:ascii="Times New Roman" w:hAnsi="Times New Roman" w:cs="Times New Roman"/>
          <w:sz w:val="24"/>
        </w:rPr>
        <w:fldChar w:fldCharType="separate"/>
      </w:r>
      <w:r>
        <w:rPr>
          <w:rFonts w:ascii="Times New Roman" w:hAnsi="Times New Roman" w:cs="Times New Roman"/>
          <w:sz w:val="24"/>
        </w:rPr>
        <w:t xml:space="preserve">7</w:t>
      </w:r>
      <w:r>
        <w:rPr>
          <w:rFonts w:ascii="Times New Roman" w:hAnsi="Times New Roman" w:cs="Times New Roman"/>
          <w:sz w:val="24"/>
        </w:rPr>
        <w:fldChar w:fldCharType="end"/>
      </w:r>
      <w:r>
        <w:rPr>
          <w:rFonts w:ascii="Times New Roman" w:hAnsi="Times New Roman" w:cs="Times New Roman"/>
          <w:sz w:val="24"/>
        </w:rPr>
        <w:t xml:space="preserve"> presents the Swiss levelised cost of heat for 2025 and 2050 under Stated Policies, on the uncoupled arm. Switzerland puts the two comparisons side by side more sharply than any other market, and both close the same way. The Swiss heat-pump levelised cost falls to a 2050 band of</w:t>
      </w:r>
      <w:r>
        <w:rPr>
          <w:rFonts w:ascii="Times New Roman" w:hAnsi="Times New Roman"/>
          <w:sz w:val="24"/>
        </w:rPr>
        <w:t xml:space="preserve"> </w:t>
      </w:r>
      <w:r>
        <w:rPr>
          <w:rFonts w:ascii="Times New Roman" w:hAnsi="Times New Roman"/>
          <w:sz w:val="24"/>
        </w:rPr>
        <w:t xml:space="preserve">€122.4–131.1/MWh against a hydrogen boiler at €128.0/MWh and a gas boiler</w:t>
      </w:r>
      <w:r>
        <w:rPr>
          <w:rFonts w:ascii="Times New Roman" w:hAnsi="Times New Roman"/>
          <w:sz w:val="24"/>
        </w:rPr>
        <w:t xml:space="preserve"> </w:t>
      </w:r>
      <w:r>
        <w:rPr>
          <w:rFonts w:ascii="Times New Roman" w:hAnsi="Times New Roman"/>
          <w:sz w:val="24"/>
        </w:rPr>
        <w:t xml:space="preserve">at about €165.9/MWh, so the best Swiss heat pump ends €5.6/MWh below the hydrogen boiler. Swiss retail electricity is expensive and</w:t>
      </w:r>
      <w:r>
        <w:rPr>
          <w:rFonts w:ascii="Times New Roman" w:hAnsi="Times New Roman"/>
          <w:sz w:val="24"/>
        </w:rPr>
        <w:t xml:space="preserve"> </w:t>
      </w:r>
      <w:r>
        <w:rPr>
          <w:rFonts w:ascii="Times New Roman" w:hAnsi="Times New Roman"/>
          <w:sz w:val="24"/>
        </w:rPr>
        <w:t xml:space="preserve">heavily levied, which keeps that margin narrow, but Switzerland also has no salt caverns</w:t>
      </w:r>
      <w:r>
        <w:rPr>
          <w:rFonts w:ascii="Times New Roman" w:hAnsi="Times New Roman"/>
          <w:sz w:val="24"/>
        </w:rPr>
        <w:t xml:space="preserve"> </w:t>
      </w:r>
      <w:r>
        <w:rPr>
          <w:rFonts w:ascii="Times New Roman" w:hAnsi="Times New Roman"/>
          <w:sz w:val="24"/>
        </w:rPr>
        <w:t xml:space="preserve">and so pays the €3.0/kg storage rate. Switzerland’s clean grid limits hydrogen’s</w:t>
      </w:r>
      <w:r>
        <w:rPr>
          <w:rFonts w:ascii="Times New Roman" w:hAnsi="Times New Roman"/>
          <w:sz w:val="24"/>
        </w:rPr>
        <w:t xml:space="preserve"> </w:t>
      </w:r>
      <w:r>
        <w:rPr>
          <w:rFonts w:ascii="Times New Roman" w:hAnsi="Times New Roman"/>
          <w:sz w:val="24"/>
        </w:rPr>
        <w:t xml:space="preserve">carbon advantage, while the absence of salt caverns removes its low-cost-storage</w:t>
      </w:r>
      <w:r>
        <w:rPr>
          <w:rFonts w:ascii="Times New Roman" w:hAnsi="Times New Roman"/>
          <w:sz w:val="24"/>
        </w:rPr>
        <w:t xml:space="preserve"> </w:t>
      </w:r>
      <w:r>
        <w:rPr>
          <w:rFonts w:ascii="Times New Roman" w:hAnsi="Times New Roman"/>
          <w:sz w:val="24"/>
        </w:rPr>
        <w:t xml:space="preserve">advantage.</w:t>
      </w:r>
    </w:p>
    <w:p>
      <w:pPr>
        <w:pStyle w:val="BodyText"/>
      </w:pPr>
      <w:r>
        <w:rPr>
          <w:rFonts w:ascii="Times New Roman" w:hAnsi="Times New Roman"/>
          <w:sz w:val="24"/>
        </w:rPr>
        <w:t xml:space="preserve">On the endogenous arm, both turbines purchase fuel at wholesale prices, so retail levy</w:t>
      </w:r>
      <w:r>
        <w:rPr>
          <w:rFonts w:ascii="Times New Roman" w:hAnsi="Times New Roman"/>
          <w:sz w:val="24"/>
        </w:rPr>
        <w:t xml:space="preserve"> </w:t>
      </w:r>
      <w:r>
        <w:rPr>
          <w:rFonts w:ascii="Times New Roman" w:hAnsi="Times New Roman"/>
          <w:sz w:val="24"/>
        </w:rPr>
        <w:t xml:space="preserve">treatment does not affect the peaking comparison. Hydrogen loses the Swiss winter peak in</w:t>
      </w:r>
      <w:r>
        <w:rPr>
          <w:rFonts w:ascii="Times New Roman" w:hAnsi="Times New Roman"/>
          <w:sz w:val="24"/>
        </w:rPr>
        <w:t xml:space="preserve"> </w:t>
      </w:r>
      <w:r>
        <w:rPr>
          <w:rFonts w:ascii="Times New Roman" w:hAnsi="Times New Roman"/>
          <w:sz w:val="24"/>
        </w:rPr>
        <w:t xml:space="preserve">all four scenarios, at €135–236/MWh-heat compared with €62–90/MWh-heat for</w:t>
      </w:r>
      <w:r>
        <w:rPr>
          <w:rFonts w:ascii="Times New Roman" w:hAnsi="Times New Roman"/>
          <w:sz w:val="24"/>
        </w:rPr>
        <w:t xml:space="preserve"> </w:t>
      </w:r>
      <w:r>
        <w:rPr>
          <w:rFonts w:ascii="Times New Roman" w:hAnsi="Times New Roman"/>
          <w:sz w:val="24"/>
        </w:rPr>
        <w:t xml:space="preserve">the heat pump. The uncoupled 29-country comparison prices the H2 Push peak at</w:t>
      </w:r>
      <w:r>
        <w:rPr>
          <w:rFonts w:ascii="Times New Roman" w:hAnsi="Times New Roman"/>
          <w:sz w:val="24"/>
        </w:rPr>
        <w:t xml:space="preserve"> </w:t>
      </w:r>
      <w:r>
        <w:rPr>
          <w:rFonts w:ascii="Times New Roman" w:hAnsi="Times New Roman"/>
          <w:sz w:val="24"/>
        </w:rPr>
        <w:t xml:space="preserve">€155/MWh-heat without crediting the Swiss reservoir fleet, producing a hydrogen win;</w:t>
      </w:r>
      <w:r>
        <w:rPr>
          <w:rFonts w:ascii="Times New Roman" w:hAnsi="Times New Roman"/>
          <w:sz w:val="24"/>
        </w:rPr>
        <w:t xml:space="preserve"> </w:t>
      </w:r>
      <w:r>
        <w:rPr>
          <w:rFonts w:ascii="Times New Roman" w:hAnsi="Times New Roman"/>
          <w:sz w:val="24"/>
        </w:rPr>
        <w:t xml:space="preserve">crediting the reservoir fleet lowers the peak price to €90/MWh-heat and removes that</w:t>
      </w:r>
      <w:r>
        <w:rPr>
          <w:rFonts w:ascii="Times New Roman" w:hAnsi="Times New Roman"/>
          <w:sz w:val="24"/>
        </w:rPr>
        <w:t xml:space="preserve"> </w:t>
      </w:r>
      <w:r>
        <w:rPr>
          <w:rFonts w:ascii="Times New Roman" w:hAnsi="Times New Roman"/>
          <w:sz w:val="24"/>
        </w:rPr>
        <w:t xml:space="preserve">win. The endogenous arm is therefore used for the Swiss peaking verdict, while the</w:t>
      </w:r>
      <w:r>
        <w:rPr>
          <w:rFonts w:ascii="Times New Roman" w:hAnsi="Times New Roman"/>
          <w:sz w:val="24"/>
        </w:rPr>
        <w:t xml:space="preserve"> </w:t>
      </w:r>
      <w:r>
        <w:rPr>
          <w:rFonts w:ascii="Times New Roman" w:hAnsi="Times New Roman"/>
          <w:sz w:val="24"/>
        </w:rPr>
        <w:t xml:space="preserve">uncoupled arm supplies the reported base-load results. The base-load gap is</w:t>
      </w:r>
      <w:r>
        <w:rPr>
          <w:rFonts w:ascii="Times New Roman" w:hAnsi="Times New Roman"/>
          <w:sz w:val="24"/>
        </w:rPr>
        <w:t xml:space="preserve"> </w:t>
      </w:r>
      <w:r>
        <w:rPr>
          <w:rFonts w:ascii="Times New Roman" w:hAnsi="Times New Roman"/>
          <w:sz w:val="24"/>
        </w:rPr>
        <w:t xml:space="preserve">€5.6/MWh on the uncoupled arm and €9.6/MWh on the endogenous arm. For</w:t>
      </w:r>
      <w:r>
        <w:rPr>
          <w:rFonts w:ascii="Times New Roman" w:hAnsi="Times New Roman"/>
          <w:sz w:val="24"/>
        </w:rPr>
        <w:t xml:space="preserve"> </w:t>
      </w:r>
      <w:r>
        <w:rPr>
          <w:rFonts w:ascii="Times New Roman" w:hAnsi="Times New Roman"/>
          <w:sz w:val="24"/>
        </w:rPr>
        <w:t xml:space="preserve">cross-market comparability, the arena counts remain on the uncoupled series: the symmetric</w:t>
      </w:r>
      <w:r>
        <w:rPr>
          <w:rFonts w:ascii="Times New Roman" w:hAnsi="Times New Roman"/>
          <w:sz w:val="24"/>
        </w:rPr>
        <w:t xml:space="preserve"> </w:t>
      </w:r>
      <w:r>
        <w:rPr>
          <w:rFonts w:ascii="Times New Roman" w:hAnsi="Times New Roman"/>
          <w:sz w:val="24"/>
        </w:rPr>
        <w:t xml:space="preserve">H2 Push building-peak count is 14 rather than the endogenous count of 13, and the</w:t>
      </w:r>
      <w:r>
        <w:rPr>
          <w:rFonts w:ascii="Times New Roman" w:hAnsi="Times New Roman"/>
          <w:sz w:val="24"/>
        </w:rPr>
        <w:t xml:space="preserve"> </w:t>
      </w:r>
      <w:r>
        <w:rPr>
          <w:rFonts w:ascii="Times New Roman" w:hAnsi="Times New Roman"/>
          <w:sz w:val="24"/>
        </w:rPr>
        <w:t xml:space="preserve">sensitivity excluding hydrogen last-mile distribution and using the residential rather</w:t>
      </w:r>
      <w:r>
        <w:rPr>
          <w:rFonts w:ascii="Times New Roman" w:hAnsi="Times New Roman"/>
          <w:sz w:val="24"/>
        </w:rPr>
        <w:t xml:space="preserve"> </w:t>
      </w:r>
      <w:r>
        <w:rPr>
          <w:rFonts w:ascii="Times New Roman" w:hAnsi="Times New Roman"/>
          <w:sz w:val="24"/>
        </w:rPr>
        <w:t xml:space="preserve">than wholesale gas tariff gives 16 rather than 15. Coupling is modelled only for</w:t>
      </w:r>
      <w:r>
        <w:rPr>
          <w:rFonts w:ascii="Times New Roman" w:hAnsi="Times New Roman"/>
          <w:sz w:val="24"/>
        </w:rPr>
        <w:t xml:space="preserve"> </w:t>
      </w:r>
      <w:r>
        <w:rPr>
          <w:rFonts w:ascii="Times New Roman" w:hAnsi="Times New Roman"/>
          <w:sz w:val="24"/>
        </w:rPr>
        <w:t xml:space="preserve">Switzerland, and the uncoupled series is the more hydrogen-favourable comparison.</w:t>
      </w:r>
    </w:p>
    <w:bookmarkStart w:id="47" w:name="fig:swiss"/>
    <w:p>
      <w:pPr>
        <w:pStyle w:val="CaptionedFigure"/>
        <w:keepNext/>
      </w:pPr>
      <w:r>
        <w:rPr>
          <w:rFonts w:ascii="Times New Roman" w:hAnsi="Times New Roman"/>
          <w:sz w:val="24"/>
        </w:rPr>
        <w:drawing>
          <wp:inline>
            <wp:extent cx="4782839" cy="3135085"/>
            <wp:effectExtent b="0" l="0" r="0" t="0"/>
            <wp:docPr descr="" title="" id="45" name="Picture"/>
            <a:graphic>
              <a:graphicData uri="http://schemas.openxmlformats.org/drawingml/2006/picture">
                <pic:pic>
                  <pic:nvPicPr>
                    <pic:cNvPr descr="switzerland_2050.png" id="46" name="Picture"/>
                    <pic:cNvPicPr>
                      <a:picLocks noChangeArrowheads="1" noChangeAspect="1"/>
                    </pic:cNvPicPr>
                  </pic:nvPicPr>
                  <pic:blipFill>
                    <a:blip r:embed="rId44"/>
                    <a:stretch>
                      <a:fillRect/>
                    </a:stretch>
                  </pic:blipFill>
                  <pic:spPr bwMode="auto">
                    <a:xfrm>
                      <a:off x="0" y="0"/>
                      <a:ext cx="4782839" cy="3135085"/>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11" w:name="fig_7"/>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7</w:t>
      </w:r>
      <w:r>
        <w:rPr>
          <w:rFonts w:ascii="Times New Roman" w:hAnsi="Times New Roman" w:cs="Times New Roman"/>
          <w:sz w:val="24"/>
        </w:rPr>
        <w:fldChar w:fldCharType="end"/>
      </w:r>
      <w:bookmarkEnd w:id="1011"/>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Swiss levelised cost of heat, 2025 and 2050.</w:t>
      </w:r>
      <w:r>
        <w:rPr>
          <w:rFonts w:ascii="Times New Roman" w:hAnsi="Times New Roman"/>
          <w:sz w:val="24"/>
        </w:rPr>
        <w:t xml:space="preserve"> </w:t>
      </w:r>
      <w:r>
        <w:rPr>
          <w:rFonts w:ascii="Times New Roman" w:hAnsi="Times New Roman"/>
          <w:sz w:val="24"/>
        </w:rPr>
        <w:t xml:space="preserve">Stated Policies, on</w:t>
      </w:r>
      <w:r>
        <w:rPr>
          <w:rFonts w:ascii="Times New Roman" w:hAnsi="Times New Roman"/>
          <w:sz w:val="24"/>
        </w:rPr>
        <w:t xml:space="preserve"> </w:t>
      </w:r>
      <w:r>
        <w:rPr>
          <w:rFonts w:ascii="Times New Roman" w:hAnsi="Times New Roman"/>
          <w:sz w:val="24"/>
        </w:rPr>
        <w:t xml:space="preserve">the uncoupled arm. Pale-filled bars are 2025, solid 2050; every bar is labelled. Switzerland has no salt caverns and so pays the higher seasonal storage rate.</w:t>
      </w:r>
    </w:p>
    <w:bookmarkEnd w:id="47"/>
    <w:p>
      <w:pPr>
        <w:pStyle w:val="BodyText"/>
      </w:pPr>
      <w:r>
        <w:rPr>
          <w:rFonts w:ascii="Times New Roman" w:hAnsi="Times New Roman"/>
          <w:sz w:val="24"/>
        </w:rPr>
        <w:t xml:space="preserve">A win in one arena does not carry to another, so the three tests together establish the scope of hydrogen’s role rather than a single verdict. The base-load comparison is the least robust of the three: the number of markets in which the heat pump beats hydrogen ranges from 13 to 29 across the hydrogen-price paths tested. That sensitivity turns in part on a fiscal asymmetry that policy could remove. The power-peak win set is conditional on the equal-efficiency comparison and the binary cavern classification. Conditional on entry, the capital-recovery screen is more stable because it depends on utilisation, scarcity margin, WACC, fixed O&amp;M and turbine CAPEX. The peaking-capacity magnitude remains conditional on the single constructed weather year.</w:t>
      </w:r>
    </w:p>
    <w:bookmarkEnd w:id="48"/>
    <w:bookmarkEnd w:id="49"/>
    <w:bookmarkStart w:id="53" w:name="sec:conclusions"/>
    <w:p>
      <w:pPr>
        <w:pStyle w:val="Heading1"/>
      </w:pPr>
      <w:r>
        <w:rPr>
          <w:rStyle w:val="SectionNumber"/>
          <w:rFonts w:ascii="Times New Roman" w:hAnsi="Times New Roman"/>
          <w:sz w:val="24"/>
        </w:rPr>
        <w:t xml:space="preserve">4</w:t>
      </w:r>
      <w:r>
        <w:rPr>
          <w:rFonts w:ascii="Times New Roman" w:hAnsi="Times New Roman"/>
          <w:sz w:val="24"/>
        </w:rPr>
        <w:tab/>
      </w:r>
      <w:r>
        <w:rPr>
          <w:rFonts w:ascii="Times New Roman" w:hAnsi="Times New Roman"/>
          <w:sz w:val="24"/>
        </w:rPr>
        <w:t xml:space="preserve">Conclusions</w:t>
      </w:r>
    </w:p>
    <w:bookmarkStart w:id="50" w:name="summary-of-findings"/>
    <w:p>
      <w:pPr>
        <w:pStyle w:val="Heading2"/>
      </w:pPr>
      <w:r>
        <w:rPr>
          <w:rStyle w:val="SectionNumber"/>
          <w:rFonts w:ascii="Times New Roman" w:hAnsi="Times New Roman"/>
          <w:sz w:val="24"/>
        </w:rPr>
        <w:t xml:space="preserve">4.1</w:t>
      </w:r>
      <w:r>
        <w:rPr>
          <w:rFonts w:ascii="Times New Roman" w:hAnsi="Times New Roman"/>
          <w:sz w:val="24"/>
        </w:rPr>
        <w:tab/>
      </w:r>
      <w:r>
        <w:rPr>
          <w:rFonts w:ascii="Times New Roman" w:hAnsi="Times New Roman"/>
          <w:sz w:val="24"/>
        </w:rPr>
        <w:t xml:space="preserve">Summary of findings</w:t>
      </w:r>
    </w:p>
    <w:p>
      <w:pPr>
        <w:pStyle w:val="FirstParagraph"/>
      </w:pPr>
      <w:r>
        <w:rPr>
          <w:rFonts w:ascii="Times New Roman" w:hAnsi="Times New Roman"/>
          <w:sz w:val="24"/>
        </w:rPr>
        <w:t xml:space="preserve">This study screens European residential heat across 29 markets to 2050 in three operating roles. The tests address distinct questions but share some input assumptions. Seasonal-storage assumptions affect the base-load and dispatch rankings. Conditional on entry, however, the capital-recovery ratio contains no fuel- or storage-cost term; it depends on utilisation, scarcity margin, WACC, fixed O&amp;M and turbine CAPEX. Four findings follow.</w:t>
      </w:r>
    </w:p>
    <w:p>
      <w:pPr>
        <w:pStyle w:val="BodyText"/>
      </w:pPr>
      <w:r>
        <w:rPr>
          <w:rFonts w:ascii="Times New Roman" w:hAnsi="Times New Roman"/>
          <w:sz w:val="24"/>
        </w:rPr>
        <w:t xml:space="preserve">(1) On central 2050 levelised cost, the best heat pump delivers at €118.5/MWh,</w:t>
      </w:r>
      <w:r>
        <w:rPr>
          <w:rFonts w:ascii="Times New Roman" w:hAnsi="Times New Roman"/>
          <w:sz w:val="24"/>
        </w:rPr>
        <w:t xml:space="preserve"> </w:t>
      </w:r>
      <w:r>
        <w:rPr>
          <w:rFonts w:ascii="Times New Roman" w:hAnsi="Times New Roman"/>
          <w:sz w:val="24"/>
        </w:rPr>
        <w:t xml:space="preserve">compared with €122.8/MWh for the hydrogen boiler and €132.7/MWh for gas. Heat</w:t>
      </w:r>
      <w:r>
        <w:rPr>
          <w:rFonts w:ascii="Times New Roman" w:hAnsi="Times New Roman"/>
          <w:sz w:val="24"/>
        </w:rPr>
        <w:t xml:space="preserve"> </w:t>
      </w:r>
      <w:r>
        <w:rPr>
          <w:rFonts w:ascii="Times New Roman" w:hAnsi="Times New Roman"/>
          <w:sz w:val="24"/>
        </w:rPr>
        <w:t xml:space="preserve">pumps beat gas in 24 of the 29 markets under the central carbon path; the count ranges</w:t>
      </w:r>
      <w:r>
        <w:rPr>
          <w:rFonts w:ascii="Times New Roman" w:hAnsi="Times New Roman"/>
          <w:sz w:val="24"/>
        </w:rPr>
        <w:t xml:space="preserve"> </w:t>
      </w:r>
      <w:r>
        <w:rPr>
          <w:rFonts w:ascii="Times New Roman" w:hAnsi="Times New Roman"/>
          <w:sz w:val="24"/>
        </w:rPr>
        <w:t xml:space="preserve">from 19 to 29 across the carbon paths tested. Against hydrogen, heat pumps win in 22</w:t>
      </w:r>
      <w:r>
        <w:rPr>
          <w:rFonts w:ascii="Times New Roman" w:hAnsi="Times New Roman"/>
          <w:sz w:val="24"/>
        </w:rPr>
        <w:t xml:space="preserve"> </w:t>
      </w:r>
      <w:r>
        <w:rPr>
          <w:rFonts w:ascii="Times New Roman" w:hAnsi="Times New Roman"/>
          <w:sz w:val="24"/>
        </w:rPr>
        <w:t xml:space="preserve">markets when firm-generation cost is allocated pro rata to heating’s annual</w:t>
      </w:r>
      <w:r>
        <w:rPr>
          <w:rFonts w:ascii="Times New Roman" w:hAnsi="Times New Roman"/>
          <w:sz w:val="24"/>
        </w:rPr>
        <w:t xml:space="preserve"> </w:t>
      </w:r>
      <w:r>
        <w:rPr>
          <w:rFonts w:ascii="Times New Roman" w:hAnsi="Times New Roman"/>
          <w:sz w:val="24"/>
        </w:rPr>
        <w:t xml:space="preserve">electricity-demand share. Allocation by the change in peaking capacity gives 19 heat-pump</w:t>
      </w:r>
      <w:r>
        <w:rPr>
          <w:rFonts w:ascii="Times New Roman" w:hAnsi="Times New Roman"/>
          <w:sz w:val="24"/>
        </w:rPr>
        <w:t xml:space="preserve"> </w:t>
      </w:r>
      <w:r>
        <w:rPr>
          <w:rFonts w:ascii="Times New Roman" w:hAnsi="Times New Roman"/>
          <w:sz w:val="24"/>
        </w:rPr>
        <w:t xml:space="preserve">wins at the low bound and 17 at the high bound. The median 2050 country gap is</w:t>
      </w:r>
      <w:r>
        <w:rPr>
          <w:rFonts w:ascii="Times New Roman" w:hAnsi="Times New Roman"/>
          <w:sz w:val="24"/>
        </w:rPr>
        <w:t xml:space="preserve"> </w:t>
      </w:r>
      <w:r>
        <w:rPr>
          <w:rFonts w:ascii="Times New Roman" w:hAnsi="Times New Roman"/>
          <w:sz w:val="24"/>
        </w:rPr>
        <w:t xml:space="preserve">€15.4/MWh, while the mean weighted by 2025 country heat demand is €1.4/MWh</w:t>
      </w:r>
      <w:r>
        <w:rPr>
          <w:rFonts w:ascii="Times New Roman" w:hAnsi="Times New Roman"/>
          <w:sz w:val="24"/>
        </w:rPr>
        <w:t xml:space="preserve"> </w:t>
      </w:r>
      <w:r>
        <w:rPr>
          <w:rFonts w:ascii="Times New Roman" w:hAnsi="Times New Roman"/>
          <w:sz w:val="24"/>
        </w:rPr>
        <w:t xml:space="preserve">because the hydrogen-favouring markets are relatively large.</w:t>
      </w:r>
    </w:p>
    <w:p>
      <w:pPr>
        <w:pStyle w:val="BodyText"/>
      </w:pPr>
      <w:r>
        <w:rPr>
          <w:rFonts w:ascii="Times New Roman" w:hAnsi="Times New Roman"/>
          <w:sz w:val="24"/>
        </w:rPr>
        <w:t xml:space="preserve">(2) Under the central symmetric accounting, hydrogen wins the base-load comparison in</w:t>
      </w:r>
      <w:r>
        <w:rPr>
          <w:rFonts w:ascii="Times New Roman" w:hAnsi="Times New Roman"/>
          <w:sz w:val="24"/>
        </w:rPr>
        <w:t xml:space="preserve"> </w:t>
      </w:r>
      <w:r>
        <w:rPr>
          <w:rFonts w:ascii="Times New Roman" w:hAnsi="Times New Roman"/>
          <w:sz w:val="24"/>
        </w:rPr>
        <w:t xml:space="preserve">seven markets and heat pumps in 22. Across the hydrogen-price paths tested, the number of</w:t>
      </w:r>
      <w:r>
        <w:rPr>
          <w:rFonts w:ascii="Times New Roman" w:hAnsi="Times New Roman"/>
          <w:sz w:val="24"/>
        </w:rPr>
        <w:t xml:space="preserve"> </w:t>
      </w:r>
      <w:r>
        <w:rPr>
          <w:rFonts w:ascii="Times New Roman" w:hAnsi="Times New Roman"/>
          <w:sz w:val="24"/>
        </w:rPr>
        <w:t xml:space="preserve">heat-pump wins ranges from 13 to 29. Dickel</w:t>
      </w:r>
      <w:r>
        <w:rPr>
          <w:rFonts w:ascii="Times New Roman" w:hAnsi="Times New Roman"/>
          <w:sz w:val="24"/>
        </w:rPr>
        <w:t xml:space="preserve"> </w:t>
      </w:r>
      <w:r>
        <w:rPr>
          <w:rFonts w:ascii="Times New Roman" w:hAnsi="Times New Roman"/>
          <w:sz w:val="24"/>
        </w:rPr>
        <w:t xml:space="preserve">[62]</w:t>
      </w:r>
      <w:r>
        <w:rPr>
          <w:rFonts w:ascii="Times New Roman" w:hAnsi="Times New Roman"/>
          <w:sz w:val="24"/>
        </w:rPr>
        <w:t xml:space="preserve"> </w:t>
      </w:r>
      <w:r>
        <w:rPr>
          <w:rFonts w:ascii="Times New Roman" w:hAnsi="Times New Roman"/>
          <w:sz w:val="24"/>
        </w:rPr>
        <w:t xml:space="preserve">concludes that the</w:t>
      </w:r>
      <w:r>
        <w:rPr>
          <w:rFonts w:ascii="Times New Roman" w:hAnsi="Times New Roman"/>
          <w:sz w:val="24"/>
        </w:rPr>
        <w:t xml:space="preserve"> </w:t>
      </w:r>
      <w:r>
        <w:rPr>
          <w:rFonts w:ascii="Times New Roman" w:hAnsi="Times New Roman"/>
          <w:sz w:val="24"/>
        </w:rPr>
        <w:t xml:space="preserve">hydrogen realistically supplied to heat would be blue, at about €81/MWh on the route</w:t>
      </w:r>
      <w:r>
        <w:rPr>
          <w:rFonts w:ascii="Times New Roman" w:hAnsi="Times New Roman"/>
          <w:sz w:val="24"/>
        </w:rPr>
        <w:t xml:space="preserve"> </w:t>
      </w:r>
      <w:r>
        <w:rPr>
          <w:rFonts w:ascii="Times New Roman" w:hAnsi="Times New Roman"/>
          <w:sz w:val="24"/>
        </w:rPr>
        <w:t xml:space="preserve">priced here</w:t>
      </w:r>
      <w:r>
        <w:rPr>
          <w:rFonts w:ascii="Times New Roman" w:hAnsi="Times New Roman"/>
          <w:sz w:val="24"/>
        </w:rPr>
        <w:t xml:space="preserve"> </w:t>
      </w:r>
      <w:r>
        <w:rPr>
          <w:rFonts w:ascii="Times New Roman" w:hAnsi="Times New Roman"/>
          <w:sz w:val="24"/>
        </w:rPr>
        <w:t xml:space="preserve">[61]</w:t>
      </w:r>
      <w:r>
        <w:rPr>
          <w:rFonts w:ascii="Times New Roman" w:hAnsi="Times New Roman"/>
          <w:sz w:val="24"/>
        </w:rPr>
        <w:t xml:space="preserve">. A uniform blue-hydrogen price of €81/MWh removes</w:t>
      </w:r>
      <w:r>
        <w:rPr>
          <w:rFonts w:ascii="Times New Roman" w:hAnsi="Times New Roman"/>
          <w:sz w:val="24"/>
        </w:rPr>
        <w:t xml:space="preserve"> </w:t>
      </w:r>
      <w:r>
        <w:rPr>
          <w:rFonts w:ascii="Times New Roman" w:hAnsi="Times New Roman"/>
          <w:sz w:val="24"/>
        </w:rPr>
        <w:t xml:space="preserve">hydrogen’s advantage in all seven central green-hydrogen base-load markets. Scaling each</w:t>
      </w:r>
      <w:r>
        <w:rPr>
          <w:rFonts w:ascii="Times New Roman" w:hAnsi="Times New Roman"/>
          <w:sz w:val="24"/>
        </w:rPr>
        <w:t xml:space="preserve"> </w:t>
      </w:r>
      <w:r>
        <w:rPr>
          <w:rFonts w:ascii="Times New Roman" w:hAnsi="Times New Roman"/>
          <w:sz w:val="24"/>
        </w:rPr>
        <w:t xml:space="preserve">country’s green-hydrogen price by the 81/50 ratio instead leaves Denmark as the sole</w:t>
      </w:r>
      <w:r>
        <w:rPr>
          <w:rFonts w:ascii="Times New Roman" w:hAnsi="Times New Roman"/>
          <w:sz w:val="24"/>
        </w:rPr>
        <w:t xml:space="preserve"> </w:t>
      </w:r>
      <w:r>
        <w:rPr>
          <w:rFonts w:ascii="Times New Roman" w:hAnsi="Times New Roman"/>
          <w:sz w:val="24"/>
        </w:rPr>
        <w:t xml:space="preserve">hydrogen win. Levelling the carriers’ fiscal treatment moves the comparison in the same</w:t>
      </w:r>
      <w:r>
        <w:rPr>
          <w:rFonts w:ascii="Times New Roman" w:hAnsi="Times New Roman"/>
          <w:sz w:val="24"/>
        </w:rPr>
        <w:t xml:space="preserve"> </w:t>
      </w:r>
      <w:r>
        <w:rPr>
          <w:rFonts w:ascii="Times New Roman" w:hAnsi="Times New Roman"/>
          <w:sz w:val="24"/>
        </w:rPr>
        <w:t xml:space="preserve">direction, by an amount outside this study’s scope.</w:t>
      </w:r>
    </w:p>
    <w:p>
      <w:pPr>
        <w:pStyle w:val="BodyText"/>
      </w:pPr>
      <w:r>
        <w:rPr>
          <w:rFonts w:ascii="Times New Roman" w:hAnsi="Times New Roman"/>
          <w:sz w:val="24"/>
        </w:rPr>
        <w:t xml:space="preserve">(3) Repriced on SRMC, on the high carbon path and the equal-efficiency</w:t>
      </w:r>
      <w:r>
        <w:rPr>
          <w:rFonts w:ascii="Times New Roman" w:hAnsi="Times New Roman"/>
          <w:sz w:val="24"/>
        </w:rPr>
        <w:t xml:space="preserve"> </w:t>
      </w:r>
      <w:r>
        <w:rPr>
          <w:rFonts w:ascii="Times New Roman" w:hAnsi="Times New Roman"/>
          <w:sz w:val="24"/>
        </w:rPr>
        <w:t xml:space="preserve">series, hydrogen wins the power peak in a different seven. All seven are salt-cavern markets on a binary geology screen, and alternative definitions give six or nine, so the count is a screening result. The</w:t>
      </w:r>
      <w:r>
        <w:rPr>
          <w:rFonts w:ascii="Times New Roman" w:hAnsi="Times New Roman"/>
          <w:sz w:val="24"/>
        </w:rPr>
        <w:t xml:space="preserve"> </w:t>
      </w:r>
      <w:r>
        <w:rPr>
          <w:rFonts w:ascii="Times New Roman" w:hAnsi="Times New Roman"/>
          <w:sz w:val="24"/>
        </w:rPr>
        <w:t xml:space="preserve">peaking increment is about 278 GW, roughly 31 per cent of the study area’s 889 GW peak, yet supplies about</w:t>
      </w:r>
      <w:r>
        <w:rPr>
          <w:rFonts w:ascii="Times New Roman" w:hAnsi="Times New Roman"/>
          <w:sz w:val="24"/>
        </w:rPr>
        <w:t xml:space="preserve"> </w:t>
      </w:r>
      <w:r>
        <w:rPr>
          <w:rFonts w:ascii="Times New Roman" w:hAnsi="Times New Roman"/>
          <w:sz w:val="24"/>
        </w:rPr>
        <w:t xml:space="preserve">0.86 per cent of its electricity. At a hydrogen-ready turbine capital cost of €600/kW, no tested market reaches full</w:t>
      </w:r>
      <w:r>
        <w:rPr>
          <w:rFonts w:ascii="Times New Roman" w:hAnsi="Times New Roman"/>
          <w:sz w:val="24"/>
        </w:rPr>
        <w:t xml:space="preserve"> </w:t>
      </w:r>
      <w:r>
        <w:rPr>
          <w:rFonts w:ascii="Times New Roman" w:hAnsi="Times New Roman"/>
          <w:sz w:val="24"/>
        </w:rPr>
        <w:t xml:space="preserve">peaker-capital recovery across the assumed scarcity margins. Capacity-weighted recovery is</w:t>
      </w:r>
      <w:r>
        <w:rPr>
          <w:rFonts w:ascii="Times New Roman" w:hAnsi="Times New Roman"/>
          <w:sz w:val="24"/>
        </w:rPr>
        <w:t xml:space="preserve"> </w:t>
      </w:r>
      <w:r>
        <w:rPr>
          <w:rFonts w:ascii="Times New Roman" w:hAnsi="Times New Roman"/>
          <w:sz w:val="24"/>
        </w:rPr>
        <w:t xml:space="preserve">about 9 per cent at the central 2050 margin and ranges from 4.4 to 17.4 per cent across</w:t>
      </w:r>
      <w:r>
        <w:rPr>
          <w:rFonts w:ascii="Times New Roman" w:hAnsi="Times New Roman"/>
          <w:sz w:val="24"/>
        </w:rPr>
        <w:t xml:space="preserve"> </w:t>
      </w:r>
      <w:r>
        <w:rPr>
          <w:rFonts w:ascii="Times New Roman" w:hAnsi="Times New Roman"/>
          <w:sz w:val="24"/>
        </w:rPr>
        <w:t xml:space="preserve">the tested margins. A standing payment of €31–63/kW-yr closes the modelled gap.</w:t>
      </w:r>
    </w:p>
    <w:p>
      <w:pPr>
        <w:pStyle w:val="BodyText"/>
      </w:pPr>
      <w:r>
        <w:rPr>
          <w:rFonts w:ascii="Times New Roman" w:hAnsi="Times New Roman"/>
          <w:sz w:val="24"/>
        </w:rPr>
        <w:t xml:space="preserve">(4) Policy ambition sets the emissions outcome. From a 2025 baseline of about</w:t>
      </w:r>
      <w:r>
        <w:rPr>
          <w:rFonts w:ascii="Times New Roman" w:hAnsi="Times New Roman"/>
          <w:sz w:val="24"/>
        </w:rPr>
        <w:t xml:space="preserve"> </w:t>
      </w:r>
      <w:r>
        <w:rPr>
          <w:rFonts w:ascii="Times New Roman" w:hAnsi="Times New Roman"/>
          <w:sz w:val="24"/>
        </w:rPr>
        <w:t xml:space="preserve">644 MtCO</w:t>
      </w:r>
      <w:r>
        <w:rPr>
          <w:vertAlign w:val="subscript"/>
        </w:rPr>
        <w:t xml:space="preserve">2</w:t>
      </w:r>
      <w:r>
        <w:rPr>
          <w:rFonts w:ascii="Times New Roman" w:hAnsi="Times New Roman"/>
          <w:sz w:val="24"/>
        </w:rPr>
        <w:t xml:space="preserve">, 2050 operational emissions reach 352 MtCO</w:t>
      </w:r>
      <w:r>
        <w:rPr>
          <w:vertAlign w:val="subscript"/>
        </w:rPr>
        <w:t xml:space="preserve">2</w:t>
      </w:r>
      <w:r>
        <w:rPr>
          <w:rFonts w:ascii="Times New Roman" w:hAnsi="Times New Roman"/>
          <w:sz w:val="24"/>
        </w:rPr>
        <w:t xml:space="preserve"> </w:t>
      </w:r>
      <w:r>
        <w:rPr>
          <w:rFonts w:ascii="Times New Roman" w:hAnsi="Times New Roman"/>
          <w:sz w:val="24"/>
        </w:rPr>
        <w:t xml:space="preserve">under Current Policies,</w:t>
      </w:r>
      <w:r>
        <w:rPr>
          <w:rFonts w:ascii="Times New Roman" w:hAnsi="Times New Roman"/>
          <w:sz w:val="24"/>
        </w:rPr>
        <w:t xml:space="preserve"> </w:t>
      </w:r>
      <w:r>
        <w:rPr>
          <w:rFonts w:ascii="Times New Roman" w:hAnsi="Times New Roman"/>
          <w:sz w:val="24"/>
        </w:rPr>
        <w:t xml:space="preserve">231 under Stated Policies, 10 under Net Zero and 123 under H2 Push. The differences are</w:t>
      </w:r>
      <w:r>
        <w:rPr>
          <w:rFonts w:ascii="Times New Roman" w:hAnsi="Times New Roman"/>
          <w:sz w:val="24"/>
        </w:rPr>
        <w:t xml:space="preserve"> </w:t>
      </w:r>
      <w:r>
        <w:rPr>
          <w:rFonts w:ascii="Times New Roman" w:hAnsi="Times New Roman"/>
          <w:sz w:val="24"/>
        </w:rPr>
        <w:t xml:space="preserve">driven principally by the fossil-phaseout lever. The heat-pump share climbs from 29 to 49 per cent across the four, district heat reaches 31 per cent at about €96.5/MWh in the deep pathway, and the dispatch screen supports hydrogen at 0, 0.6, 7.5 and 9.0 per cent of useful heat.</w:t>
      </w:r>
    </w:p>
    <w:bookmarkEnd w:id="50"/>
    <w:bookmarkStart w:id="51" w:name="policy-implications"/>
    <w:p>
      <w:pPr>
        <w:pStyle w:val="Heading2"/>
      </w:pPr>
      <w:r>
        <w:rPr>
          <w:rStyle w:val="SectionNumber"/>
          <w:rFonts w:ascii="Times New Roman" w:hAnsi="Times New Roman"/>
          <w:sz w:val="24"/>
        </w:rPr>
        <w:t xml:space="preserve">4.2</w:t>
      </w:r>
      <w:r>
        <w:rPr>
          <w:rFonts w:ascii="Times New Roman" w:hAnsi="Times New Roman"/>
          <w:sz w:val="24"/>
        </w:rPr>
        <w:tab/>
      </w:r>
      <w:r>
        <w:rPr>
          <w:rFonts w:ascii="Times New Roman" w:hAnsi="Times New Roman"/>
          <w:sz w:val="24"/>
        </w:rPr>
        <w:t xml:space="preserve">Policy implications</w:t>
      </w:r>
    </w:p>
    <w:p>
      <w:pPr>
        <w:pStyle w:val="FirstParagraph"/>
      </w:pPr>
      <w:r>
        <w:rPr>
          <w:rFonts w:ascii="Times New Roman" w:hAnsi="Times New Roman"/>
          <w:sz w:val="24"/>
        </w:rPr>
        <w:t xml:space="preserve">Four implications follow, each scoped to the model’s cost criterion. (1) Heat pumps lead by the widest margin across the warm south and east, undercutting hydrogen by about €99/MWh in Malta and €88 in Cyprus. (2) Passing ETS2 through to end</w:t>
      </w:r>
      <w:r>
        <w:rPr>
          <w:rFonts w:ascii="Times New Roman" w:hAnsi="Times New Roman"/>
          <w:sz w:val="24"/>
        </w:rPr>
        <w:t xml:space="preserve"> </w:t>
      </w:r>
      <w:r>
        <w:rPr>
          <w:rFonts w:ascii="Times New Roman" w:hAnsi="Times New Roman"/>
          <w:sz w:val="24"/>
        </w:rPr>
        <w:t xml:space="preserve">users preserves the switching signal, the €11/MWh per €50/tCO</w:t>
      </w:r>
      <w:r>
        <w:rPr>
          <w:vertAlign w:val="subscript"/>
        </w:rPr>
        <w:t xml:space="preserve">2</w:t>
      </w:r>
      <w:r>
        <w:rPr>
          <w:rFonts w:ascii="Times New Roman" w:hAnsi="Times New Roman"/>
          <w:sz w:val="24"/>
        </w:rPr>
        <w:t xml:space="preserve"> </w:t>
      </w:r>
      <w:r>
        <w:rPr>
          <w:rFonts w:ascii="Times New Roman" w:hAnsi="Times New Roman"/>
          <w:sz w:val="24"/>
        </w:rPr>
        <w:t xml:space="preserve">wedge</w:t>
      </w:r>
      <w:r>
        <w:rPr>
          <w:rFonts w:ascii="Times New Roman" w:hAnsi="Times New Roman"/>
          <w:sz w:val="24"/>
        </w:rPr>
        <w:t xml:space="preserve"> </w:t>
      </w:r>
      <w:r>
        <w:rPr>
          <w:rFonts w:ascii="Times New Roman" w:hAnsi="Times New Roman"/>
          <w:sz w:val="24"/>
        </w:rPr>
        <w:t xml:space="preserve">quantified above, which social protection can leave intact.</w:t>
      </w:r>
    </w:p>
    <w:p>
      <w:pPr>
        <w:pStyle w:val="BodyText"/>
      </w:pPr>
      <w:r>
        <w:rPr>
          <w:rFonts w:ascii="Times New Roman" w:hAnsi="Times New Roman"/>
          <w:sz w:val="24"/>
        </w:rPr>
        <w:t xml:space="preserve">(3) Where a hydrogen peaker is wanted, no tested market reaches full capital recovery across the assumed scarcity margins, and the modelled technology-neutral comparison procures unabated gas at the capex assumed here, so a payment conditioned on emissions is what selects hydrogen. Those figures let a capacity-mechanism designer weigh what an emissions condition buys against a technology-neutral auction at the same capital cost. Conditioning costs about</w:t>
      </w:r>
      <w:r>
        <w:rPr>
          <w:rFonts w:ascii="Times New Roman" w:hAnsi="Times New Roman"/>
          <w:sz w:val="24"/>
        </w:rPr>
        <w:t xml:space="preserve"> </w:t>
      </w:r>
      <w:r>
        <w:rPr>
          <w:rFonts w:ascii="Times New Roman" w:hAnsi="Times New Roman"/>
          <w:sz w:val="24"/>
        </w:rPr>
        <w:t xml:space="preserve">€172/tCO</w:t>
      </w:r>
      <w:r>
        <w:rPr>
          <w:vertAlign w:val="subscript"/>
        </w:rPr>
        <w:t xml:space="preserve">2</w:t>
      </w:r>
      <w:r>
        <w:rPr>
          <w:rFonts w:ascii="Times New Roman" w:hAnsi="Times New Roman"/>
          <w:sz w:val="24"/>
        </w:rPr>
        <w:t xml:space="preserve"> </w:t>
      </w:r>
      <w:r>
        <w:rPr>
          <w:rFonts w:ascii="Times New Roman" w:hAnsi="Times New Roman"/>
          <w:sz w:val="24"/>
        </w:rPr>
        <w:t xml:space="preserve">of displaced gas generation in the central case, on top of the carbon</w:t>
      </w:r>
      <w:r>
        <w:rPr>
          <w:rFonts w:ascii="Times New Roman" w:hAnsi="Times New Roman"/>
          <w:sz w:val="24"/>
        </w:rPr>
        <w:t xml:space="preserve"> </w:t>
      </w:r>
      <w:r>
        <w:rPr>
          <w:rFonts w:ascii="Times New Roman" w:hAnsi="Times New Roman"/>
          <w:sz w:val="24"/>
        </w:rPr>
        <w:t xml:space="preserve">price the gas plant already pays. The technology-neutral</w:t>
      </w:r>
      <w:r>
        <w:rPr>
          <w:rFonts w:ascii="Times New Roman" w:hAnsi="Times New Roman"/>
          <w:sz w:val="24"/>
        </w:rPr>
        <w:t xml:space="preserve"> </w:t>
      </w:r>
      <w:r>
        <w:rPr>
          <w:rFonts w:ascii="Times New Roman" w:hAnsi="Times New Roman"/>
          <w:sz w:val="24"/>
        </w:rPr>
        <w:t xml:space="preserve">outcome reverses only where hydrogen-ready</w:t>
      </w:r>
      <w:r>
        <w:rPr>
          <w:rFonts w:ascii="Times New Roman" w:hAnsi="Times New Roman"/>
          <w:sz w:val="24"/>
        </w:rPr>
        <w:t xml:space="preserve"> </w:t>
      </w:r>
      <w:r>
        <w:rPr>
          <w:rFonts w:ascii="Times New Roman" w:hAnsi="Times New Roman"/>
          <w:sz w:val="24"/>
        </w:rPr>
        <w:t xml:space="preserve">machines carry a premium below about 18 per cent over the gas turbine. At the assumed</w:t>
      </w:r>
      <w:r>
        <w:rPr>
          <w:rFonts w:ascii="Times New Roman" w:hAnsi="Times New Roman"/>
          <w:sz w:val="24"/>
        </w:rPr>
        <w:t xml:space="preserve"> </w:t>
      </w:r>
      <w:r>
        <w:rPr>
          <w:rFonts w:ascii="Times New Roman" w:hAnsi="Times New Roman"/>
          <w:sz w:val="24"/>
        </w:rPr>
        <w:t xml:space="preserve">gas-turbine emissions intensity, the Article 22(4) threshold does not distinguish the two</w:t>
      </w:r>
      <w:r>
        <w:rPr>
          <w:rFonts w:ascii="Times New Roman" w:hAnsi="Times New Roman"/>
          <w:sz w:val="24"/>
        </w:rPr>
        <w:t xml:space="preserve"> </w:t>
      </w:r>
      <w:r>
        <w:rPr>
          <w:rFonts w:ascii="Times New Roman" w:hAnsi="Times New Roman"/>
          <w:sz w:val="24"/>
        </w:rPr>
        <w:t xml:space="preserve">technologies; selection therefore requires a more restrictive emissions condition or an</w:t>
      </w:r>
      <w:r>
        <w:rPr>
          <w:rFonts w:ascii="Times New Roman" w:hAnsi="Times New Roman"/>
          <w:sz w:val="24"/>
        </w:rPr>
        <w:t xml:space="preserve"> </w:t>
      </w:r>
      <w:r>
        <w:rPr>
          <w:rFonts w:ascii="Times New Roman" w:hAnsi="Times New Roman"/>
          <w:sz w:val="24"/>
        </w:rPr>
        <w:t xml:space="preserve">equivalent premium (Section 3.4).</w:t>
      </w:r>
    </w:p>
    <w:p>
      <w:pPr>
        <w:pStyle w:val="BodyText"/>
      </w:pPr>
      <w:r>
        <w:rPr>
          <w:rFonts w:ascii="Times New Roman" w:hAnsi="Times New Roman"/>
          <w:sz w:val="24"/>
        </w:rPr>
        <w:t xml:space="preserve">(4) Within the model, the national scope-1 target is not reached through the price signal</w:t>
      </w:r>
      <w:r>
        <w:rPr>
          <w:rFonts w:ascii="Times New Roman" w:hAnsi="Times New Roman"/>
          <w:sz w:val="24"/>
        </w:rPr>
        <w:t xml:space="preserve"> </w:t>
      </w:r>
      <w:r>
        <w:rPr>
          <w:rFonts w:ascii="Times New Roman" w:hAnsi="Times New Roman"/>
          <w:sz w:val="24"/>
        </w:rPr>
        <w:t xml:space="preserve">alone in every country, so the four markets where the cap binds at 2050, and three more</w:t>
      </w:r>
      <w:r>
        <w:rPr>
          <w:rFonts w:ascii="Times New Roman" w:hAnsi="Times New Roman"/>
          <w:sz w:val="24"/>
        </w:rPr>
        <w:t xml:space="preserve"> </w:t>
      </w:r>
      <w:r>
        <w:rPr>
          <w:rFonts w:ascii="Times New Roman" w:hAnsi="Times New Roman"/>
          <w:sz w:val="24"/>
        </w:rPr>
        <w:t xml:space="preserve">that bind earlier, need a complementary instrument.</w:t>
      </w:r>
    </w:p>
    <w:bookmarkEnd w:id="51"/>
    <w:bookmarkStart w:id="52" w:name="limitations-and-future-work"/>
    <w:p>
      <w:pPr>
        <w:pStyle w:val="Heading2"/>
      </w:pPr>
      <w:r>
        <w:rPr>
          <w:rStyle w:val="SectionNumber"/>
          <w:rFonts w:ascii="Times New Roman" w:hAnsi="Times New Roman"/>
          <w:sz w:val="24"/>
        </w:rPr>
        <w:t xml:space="preserve">4.3</w:t>
      </w:r>
      <w:r>
        <w:rPr>
          <w:rFonts w:ascii="Times New Roman" w:hAnsi="Times New Roman"/>
          <w:sz w:val="24"/>
        </w:rPr>
        <w:tab/>
      </w:r>
      <w:r>
        <w:rPr>
          <w:rFonts w:ascii="Times New Roman" w:hAnsi="Times New Roman"/>
          <w:sz w:val="24"/>
        </w:rPr>
        <w:t xml:space="preserve">Limitations and future work</w:t>
      </w:r>
    </w:p>
    <w:p>
      <w:pPr>
        <w:pStyle w:val="FirstParagraph"/>
      </w:pPr>
      <w:r>
        <w:rPr>
          <w:rFonts w:ascii="Times New Roman" w:hAnsi="Times New Roman"/>
          <w:sz w:val="24"/>
        </w:rPr>
        <w:t xml:space="preserve">Seven limitations and their expected directions are detailed in Supplementary</w:t>
      </w:r>
      <w:r>
        <w:rPr>
          <w:rFonts w:ascii="Times New Roman" w:hAnsi="Times New Roman"/>
          <w:sz w:val="24"/>
        </w:rPr>
        <w:t xml:space="preserve"> </w:t>
      </w:r>
      <w:r>
        <w:rPr>
          <w:rFonts w:ascii="Times New Roman" w:hAnsi="Times New Roman"/>
          <w:sz w:val="24"/>
        </w:rPr>
        <w:t xml:space="preserve">Section S2.9. The largest is the weather construction described in</w:t>
      </w:r>
      <w:r>
        <w:rPr>
          <w:rFonts w:ascii="Times New Roman" w:hAnsi="Times New Roman"/>
          <w:sz w:val="24"/>
        </w:rPr>
        <w:t xml:space="preserve"> </w:t>
      </w:r>
      <w:r>
        <w:rPr>
          <w:rFonts w:ascii="Times New Roman" w:hAnsi="Times New Roman"/>
          <w:sz w:val="24"/>
        </w:rPr>
        <w:t xml:space="preserve">Section 2, which conditions the power-sector results. The 278 GW fleet, the</w:t>
      </w:r>
      <w:r>
        <w:rPr>
          <w:rFonts w:ascii="Times New Roman" w:hAnsi="Times New Roman"/>
          <w:sz w:val="24"/>
        </w:rPr>
        <w:t xml:space="preserve"> </w:t>
      </w:r>
      <w:r>
        <w:rPr>
          <w:rFonts w:ascii="Times New Roman" w:hAnsi="Times New Roman"/>
          <w:sz w:val="24"/>
        </w:rPr>
        <w:t xml:space="preserve">139 full-load hours, the €357 bn shortfall and the finding that no power-sector</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peaker reaches full capital recovery in Table </w:t>
      </w:r>
      <w:r>
        <w:rPr>
          <w:rFonts w:ascii="Times New Roman" w:hAnsi="Times New Roman" w:cs="Times New Roman"/>
          <w:sz w:val="24"/>
        </w:rPr>
        <w:fldChar w:fldCharType="begin"/>
      </w:r>
      <w:r>
        <w:rPr>
          <w:rFonts w:ascii="Times New Roman" w:hAnsi="Times New Roman" w:cs="Times New Roman"/>
          <w:sz w:val="24"/>
        </w:rPr>
        <w:instrText xml:space="preserve"> REF tab_2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 rest on it, and the</w:t>
      </w:r>
      <w:r>
        <w:rPr>
          <w:rFonts w:ascii="Times New Roman" w:hAnsi="Times New Roman"/>
          <w:sz w:val="24"/>
        </w:rPr>
        <w:t xml:space="preserve"> </w:t>
      </w:r>
      <w:r>
        <w:rPr>
          <w:rFonts w:ascii="Times New Roman" w:hAnsi="Times New Roman"/>
          <w:sz w:val="24"/>
        </w:rPr>
        <w:t xml:space="preserve">cold snap’s assumed length is a choice,</w:t>
      </w:r>
      <w:r>
        <w:rPr>
          <w:rFonts w:ascii="Times New Roman" w:hAnsi="Times New Roman"/>
          <w:sz w:val="24"/>
        </w:rPr>
        <w:t xml:space="preserve"> </w:t>
      </w:r>
      <w:r>
        <w:rPr>
          <w:rFonts w:ascii="Times New Roman" w:hAnsi="Times New Roman"/>
          <w:sz w:val="24"/>
        </w:rPr>
        <w:t xml:space="preserve">two days giving 254 GW and ten days 302 GW. An adequacy assessment would run thirty or more recorded weather years and derive the correlation from data, as Kittel</w:t>
      </w:r>
      <w:r>
        <w:rPr>
          <w:rFonts w:ascii="Times New Roman" w:hAnsi="Times New Roman"/>
          <w:sz w:val="24"/>
        </w:rPr>
        <w:t xml:space="preserve"> </w:t>
      </w:r>
      <w:r>
        <w:rPr>
          <w:rFonts w:ascii="Times New Roman" w:hAnsi="Times New Roman"/>
          <w:sz w:val="24"/>
        </w:rPr>
        <w:t xml:space="preserve">[68]</w:t>
      </w:r>
      <w:r>
        <w:rPr>
          <w:rFonts w:ascii="Times New Roman" w:hAnsi="Times New Roman"/>
          <w:sz w:val="24"/>
        </w:rPr>
        <w:t xml:space="preserve"> </w:t>
      </w:r>
      <w:r>
        <w:rPr>
          <w:rFonts w:ascii="Times New Roman" w:hAnsi="Times New Roman"/>
          <w:sz w:val="24"/>
        </w:rPr>
        <w:t xml:space="preserve">does for European renewable droughts</w:t>
      </w:r>
      <w:r>
        <w:rPr>
          <w:rFonts w:ascii="Times New Roman" w:hAnsi="Times New Roman"/>
          <w:sz w:val="24"/>
        </w:rPr>
        <w:t xml:space="preserve"> </w:t>
      </w:r>
      <w:r>
        <w:rPr>
          <w:rFonts w:ascii="Times New Roman" w:hAnsi="Times New Roman"/>
          <w:sz w:val="24"/>
        </w:rPr>
        <w:t xml:space="preserve">[69], [70]</w:t>
      </w:r>
      <w:r>
        <w:rPr>
          <w:rFonts w:ascii="Times New Roman" w:hAnsi="Times New Roman"/>
          <w:sz w:val="24"/>
        </w:rPr>
        <w:t xml:space="preserve">, which is beyond a single constructed year. Nonetheless, the recovery shortfall survives every weather variant tested, so that finding does not rest on the construction.</w:t>
      </w:r>
    </w:p>
    <w:p>
      <w:pPr>
        <w:pStyle w:val="BodyText"/>
      </w:pPr>
      <w:r>
        <w:rPr>
          <w:rFonts w:ascii="Times New Roman" w:hAnsi="Times New Roman"/>
          <w:sz w:val="24"/>
        </w:rPr>
        <w:t xml:space="preserve">Future work should co-optimise renovation depth with technology choice, build the hourly emissions ledger, resolve within-region heterogeneity, and price the cross-sector capacity value a hydrogen turbine might capture.</w:t>
      </w:r>
    </w:p>
    <w:bookmarkEnd w:id="52"/>
    <w:bookmarkEnd w:id="53"/>
    <w:bookmarkStart w:id="54" w:name="credit-authorship-contribution-statement"/>
    <w:p>
      <w:pPr>
        <w:pStyle w:val="Heading1"/>
      </w:pPr>
      <w:r>
        <w:rPr>
          <w:rFonts w:ascii="Times New Roman" w:hAnsi="Times New Roman"/>
          <w:sz w:val="24"/>
        </w:rPr>
        <w:t xml:space="preserve">CRediT authorship contribution statement</w:t>
      </w:r>
    </w:p>
    <w:p>
      <w:pPr>
        <w:pStyle w:val="FirstParagraph"/>
      </w:pPr>
      <w:r>
        <w:rPr>
          <w:rFonts w:ascii="Times New Roman" w:hAnsi="Times New Roman"/>
          <w:b/>
          <w:bCs/>
          <w:sz w:val="24"/>
        </w:rPr>
        <w:t xml:space="preserve">Abdurahman Alsulaiman:</w:t>
      </w:r>
      <w:r>
        <w:rPr>
          <w:rFonts w:ascii="Times New Roman" w:hAnsi="Times New Roman"/>
          <w:sz w:val="24"/>
        </w:rPr>
        <w:t xml:space="preserve"> </w:t>
      </w:r>
      <w:r>
        <w:rPr>
          <w:rFonts w:ascii="Times New Roman" w:hAnsi="Times New Roman"/>
          <w:sz w:val="24"/>
        </w:rPr>
        <w:t xml:space="preserve">Conceptualization, Methodology, Software, Validation, Formal analysis, Data curation, Visualization, Writing – original draft, Writing – review &amp; editing.</w:t>
      </w:r>
      <w:r>
        <w:rPr>
          <w:rFonts w:ascii="Times New Roman" w:hAnsi="Times New Roman"/>
          <w:sz w:val="24"/>
        </w:rPr>
        <w:t xml:space="preserve"> </w:t>
      </w:r>
      <w:r>
        <w:rPr>
          <w:rFonts w:ascii="Times New Roman" w:hAnsi="Times New Roman"/>
          <w:b/>
          <w:bCs/>
          <w:sz w:val="24"/>
        </w:rPr>
        <w:t xml:space="preserve">Ali Alajwad:</w:t>
      </w:r>
      <w:r>
        <w:rPr>
          <w:rFonts w:ascii="Times New Roman" w:hAnsi="Times New Roman"/>
          <w:sz w:val="24"/>
        </w:rPr>
        <w:t xml:space="preserve"> </w:t>
      </w:r>
      <w:r>
        <w:rPr>
          <w:rFonts w:ascii="Times New Roman" w:hAnsi="Times New Roman"/>
          <w:sz w:val="24"/>
        </w:rPr>
        <w:t xml:space="preserve">Conceptualization, Methodology, Software, Validation, Formal analysis, Data curation, Visualization, Writing – original draft, Writing – review &amp; editing.</w:t>
      </w:r>
    </w:p>
    <w:bookmarkEnd w:id="54"/>
    <w:bookmarkStart w:id="55" w:name="funding"/>
    <w:p>
      <w:pPr>
        <w:pStyle w:val="Heading1"/>
      </w:pPr>
      <w:r>
        <w:rPr>
          <w:rFonts w:ascii="Times New Roman" w:hAnsi="Times New Roman"/>
          <w:sz w:val="24"/>
        </w:rPr>
        <w:t xml:space="preserve">Funding</w:t>
      </w:r>
    </w:p>
    <w:p>
      <w:pPr>
        <w:pStyle w:val="FirstParagraph"/>
      </w:pPr>
      <w:r>
        <w:rPr>
          <w:rFonts w:ascii="Times New Roman" w:hAnsi="Times New Roman"/>
          <w:sz w:val="24"/>
        </w:rPr>
        <w:t xml:space="preserve">This project has received funding from the European Union’s Horizon 2020 research and innovation programme under the Marie Skłodowska-Curie grant agreement N° 945363.</w:t>
      </w:r>
    </w:p>
    <w:bookmarkEnd w:id="55"/>
    <w:bookmarkStart w:id="56" w:name="acknowledgements"/>
    <w:p>
      <w:pPr>
        <w:pStyle w:val="Heading1"/>
      </w:pPr>
      <w:r>
        <w:rPr>
          <w:rFonts w:ascii="Times New Roman" w:hAnsi="Times New Roman"/>
          <w:sz w:val="24"/>
        </w:rPr>
        <w:t xml:space="preserve">Acknowledgements</w:t>
      </w:r>
    </w:p>
    <w:p>
      <w:pPr>
        <w:pStyle w:val="FirstParagraph"/>
      </w:pPr>
      <w:r>
        <w:rPr>
          <w:rFonts w:ascii="Times New Roman" w:hAnsi="Times New Roman"/>
          <w:sz w:val="24"/>
        </w:rPr>
        <w:t xml:space="preserve">The authors thank the Oxford Institute for Energy Studies for access to its gas and hydrogen research programme, and the maintainers of the EUBUCCO, TABULA and Hotmaps databases, without which the regional demand reconstruction would not have been possible.</w:t>
      </w:r>
    </w:p>
    <w:bookmarkEnd w:id="56"/>
    <w:bookmarkStart w:id="57" w:name="declaration-of-competing-interest"/>
    <w:p>
      <w:pPr>
        <w:pStyle w:val="Heading1"/>
      </w:pPr>
      <w:r>
        <w:rPr>
          <w:rFonts w:ascii="Times New Roman" w:hAnsi="Times New Roman"/>
          <w:sz w:val="24"/>
        </w:rPr>
        <w:t xml:space="preserve">Declaration of competing interest</w:t>
      </w:r>
    </w:p>
    <w:p>
      <w:pPr>
        <w:pStyle w:val="FirstParagraph"/>
      </w:pPr>
      <w:r>
        <w:rPr>
          <w:rFonts w:ascii="Times New Roman" w:hAnsi="Times New Roman"/>
          <w:sz w:val="24"/>
        </w:rPr>
        <w:t xml:space="preserve">The authors declare that they have no known competing financial interests or personal relationships that could have appeared to influence the work reported in this paper.</w:t>
      </w:r>
    </w:p>
    <w:bookmarkEnd w:id="57"/>
    <w:bookmarkStart w:id="59" w:name="data-availability"/>
    <w:p>
      <w:pPr>
        <w:pStyle w:val="Heading1"/>
      </w:pPr>
      <w:r>
        <w:rPr>
          <w:rFonts w:ascii="Times New Roman" w:hAnsi="Times New Roman"/>
          <w:sz w:val="24"/>
        </w:rPr>
        <w:t xml:space="preserve">Data availability</w:t>
      </w:r>
    </w:p>
    <w:p>
      <w:pPr>
        <w:pStyle w:val="FirstParagraph"/>
      </w:pPr>
      <w:r>
        <w:rPr>
          <w:rFonts w:ascii="Times New Roman" w:hAnsi="Times New Roman"/>
          <w:sz w:val="24"/>
        </w:rPr>
        <w:t xml:space="preserve">The model, its input data and the country profiles are openly available at</w:t>
      </w:r>
      <w:r>
        <w:rPr>
          <w:rFonts w:ascii="Times New Roman" w:hAnsi="Times New Roman"/>
          <w:sz w:val="24"/>
        </w:rPr>
        <w:t xml:space="preserve"> </w:t>
      </w:r>
      <w:hyperlink r:id="rId58">
        <w:r>
          <w:rPr>
            <w:rStyle w:val="Hyperlink"/>
          </w:rPr>
          <w:t xml:space="preserve">https://github.com/alajwadha/EU-Building-Heat-Model</w:t>
        </w:r>
      </w:hyperlink>
      <w:r>
        <w:rPr>
          <w:rFonts w:ascii="Times New Roman" w:hAnsi="Times New Roman"/>
          <w:sz w:val="24"/>
        </w:rPr>
        <w:t xml:space="preserve"> </w:t>
      </w:r>
      <w:r>
        <w:rPr>
          <w:rFonts w:ascii="Times New Roman" w:hAnsi="Times New Roman"/>
          <w:sz w:val="24"/>
        </w:rPr>
        <w:t xml:space="preserve">(MIT licence). Large third-party inputs for Hotmaps, Eurostat and GISCO are retrieved by the included download scripts. Two inputs require separate handling: the UK ONS TS044 accommodation-type table is a one-time manual download committed to the repository, whereas the EUBUCCO v0.2 building footprints are fetched from the EUBUCCO object store by the per-country build scripts. The forward model runs from the committed intermediate CSVs; reproducing the bottom-up build from raw footprints additionally requires that object store and the per-country classification step.</w:t>
      </w:r>
    </w:p>
    <w:bookmarkEnd w:id="59"/>
    <w:bookmarkStart w:id="193" w:name="references"/>
    <w:p>
      <w:pPr>
        <w:pStyle w:val="Heading1"/>
      </w:pPr>
      <w:r>
        <w:rPr>
          <w:rFonts w:ascii="Times New Roman" w:hAnsi="Times New Roman"/>
          <w:sz w:val="24"/>
        </w:rPr>
        <w:t xml:space="preserve">References</w:t>
      </w:r>
    </w:p>
    <w:bookmarkStart w:id="192" w:name="refs"/>
    <w:bookmarkStart w:id="61" w:name="ref-IEA2022buildings"/>
    <w:p>
      <w:pPr>
        <w:pStyle w:val="Bibliography"/>
      </w:pPr>
      <w:r>
        <w:rP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Energy Agency,</w:t>
      </w:r>
      <w:r>
        <w:rPr>
          <w:rFonts w:ascii="Times New Roman" w:hAnsi="Times New Roman"/>
          <w:sz w:val="24"/>
        </w:rPr>
        <w:t xml:space="preserve"> </w:t>
      </w:r>
      <w:r>
        <w:rPr>
          <w:rFonts w:ascii="Times New Roman" w:hAnsi="Times New Roman"/>
          <w:sz w:val="24"/>
        </w:rPr>
        <w:t xml:space="preserve">“Buildings,”</w:t>
      </w:r>
      <w:r>
        <w:rPr>
          <w:rFonts w:ascii="Times New Roman" w:hAnsi="Times New Roman"/>
          <w:sz w:val="24"/>
        </w:rPr>
        <w:t xml:space="preserve"> </w:t>
      </w:r>
      <w:r>
        <w:rPr>
          <w:rFonts w:ascii="Times New Roman" w:hAnsi="Times New Roman"/>
          <w:sz w:val="24"/>
        </w:rPr>
        <w:t xml:space="preserve">IEA, 2022. Available:</w:t>
      </w:r>
      <w:r>
        <w:rPr>
          <w:rFonts w:ascii="Times New Roman" w:hAnsi="Times New Roman"/>
          <w:sz w:val="24"/>
        </w:rPr>
        <w:t xml:space="preserve"> </w:t>
      </w:r>
      <w:hyperlink r:id="rId60">
        <w:r>
          <w:rPr>
            <w:rStyle w:val="Hyperlink"/>
          </w:rPr>
          <w:t xml:space="preserve">https://www.iea.org/energy-system/buildings</w:t>
        </w:r>
      </w:hyperlink>
    </w:p>
    <w:bookmarkEnd w:id="61"/>
    <w:bookmarkStart w:id="63" w:name="ref-EuropeanCommission2020GreenDeal"/>
    <w:p>
      <w:pPr>
        <w:pStyle w:val="Bibliography"/>
      </w:pPr>
      <w:r>
        <w:rPr>
          <w:rFonts w:ascii="Times New Roman" w:hAnsi="Times New Roman"/>
          <w:sz w:val="24"/>
        </w:rPr>
        <w:t xml:space="preserve">[2]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European Green Deal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European Commission, 2020. Available:</w:t>
      </w:r>
      <w:r>
        <w:rPr>
          <w:rFonts w:ascii="Times New Roman" w:hAnsi="Times New Roman"/>
          <w:sz w:val="24"/>
        </w:rPr>
        <w:t xml:space="preserve"> </w:t>
      </w:r>
      <w:hyperlink r:id="rId62">
        <w:r>
          <w:rPr>
            <w:rStyle w:val="Hyperlink"/>
          </w:rPr>
          <w:t xml:space="preserve">https://commission.europa.eu/strategy-and-policy/priorities-2019-2024/european-green-deal_en</w:t>
        </w:r>
      </w:hyperlink>
    </w:p>
    <w:bookmarkEnd w:id="63"/>
    <w:bookmarkStart w:id="64" w:name="ref-Azevedo2022"/>
    <w:p>
      <w:pPr>
        <w:pStyle w:val="Bibliography"/>
      </w:pPr>
      <w:r>
        <w:rPr>
          <w:rFonts w:ascii="Times New Roman" w:hAnsi="Times New Roman"/>
          <w:sz w:val="24"/>
        </w:rPr>
        <w:t xml:space="preserve">[3]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 L. Azevedo, M. G. Morgan, and M. C. Moura,</w:t>
      </w:r>
      <w:r>
        <w:rPr>
          <w:rFonts w:ascii="Times New Roman" w:hAnsi="Times New Roman"/>
          <w:sz w:val="24"/>
        </w:rPr>
        <w:t xml:space="preserve"> </w:t>
      </w:r>
      <w:r>
        <w:rPr>
          <w:rFonts w:ascii="Times New Roman" w:hAnsi="Times New Roman"/>
          <w:sz w:val="24"/>
        </w:rPr>
        <w:t xml:space="preserve">“The challenges of deep decarbonization in the buildings sector,”</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vol. 6, no. 4, pp. 696–708, 2022.</w:t>
      </w:r>
    </w:p>
    <w:bookmarkEnd w:id="64"/>
    <w:bookmarkStart w:id="66" w:name="ref-Chatterjee2024Navigating"/>
    <w:p>
      <w:pPr>
        <w:pStyle w:val="Bibliography"/>
      </w:pPr>
      <w:r>
        <w:rPr>
          <w:rFonts w:ascii="Times New Roman" w:hAnsi="Times New Roman"/>
          <w:sz w:val="24"/>
        </w:rPr>
        <w:t xml:space="preserve">[4]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S. Chatterjee, G. Molnár, B. Kiss, D. Topál, and D. Ürge-Vorsatz,</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Navigating the transition: Modelling the path for net-zero European building sector</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Renewable and Sustainable Energy Reviews</w:t>
      </w:r>
      <w:r>
        <w:rPr>
          <w:rFonts w:ascii="Times New Roman" w:hAnsi="Times New Roman"/>
          <w:sz w:val="24"/>
        </w:rPr>
        <w:t xml:space="preserve">, 2024, doi:</w:t>
      </w:r>
      <w:r>
        <w:rPr>
          <w:rFonts w:ascii="Times New Roman" w:hAnsi="Times New Roman"/>
          <w:sz w:val="24"/>
        </w:rPr>
        <w:t xml:space="preserve"> </w:t>
      </w:r>
      <w:hyperlink r:id="rId65">
        <w:r>
          <w:rPr>
            <w:rStyle w:val="Hyperlink"/>
          </w:rPr>
          <w:t xml:space="preserve">10.1016/j.rser.2024.114827</w:t>
        </w:r>
      </w:hyperlink>
      <w:r>
        <w:rPr>
          <w:rFonts w:ascii="Times New Roman" w:hAnsi="Times New Roman"/>
          <w:sz w:val="24"/>
        </w:rPr>
        <w:t xml:space="preserve">.</w:t>
      </w:r>
    </w:p>
    <w:bookmarkEnd w:id="66"/>
    <w:bookmarkStart w:id="68" w:name="ref-IEA2022heatpumps"/>
    <w:p>
      <w:pPr>
        <w:pStyle w:val="Bibliography"/>
      </w:pPr>
      <w:r>
        <w:rPr>
          <w:rFonts w:ascii="Times New Roman" w:hAnsi="Times New Roman"/>
          <w:sz w:val="24"/>
        </w:rPr>
        <w:t xml:space="preserve">[5]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Energy Agency,</w:t>
      </w:r>
      <w:r>
        <w:rPr>
          <w:rFonts w:ascii="Times New Roman" w:hAnsi="Times New Roman"/>
          <w:sz w:val="24"/>
        </w:rPr>
        <w:t xml:space="preserve"> </w:t>
      </w:r>
      <w:r>
        <w:rPr>
          <w:rFonts w:ascii="Times New Roman" w:hAnsi="Times New Roman"/>
          <w:sz w:val="24"/>
        </w:rPr>
        <w:t xml:space="preserve">“The future of heat pumps,”</w:t>
      </w:r>
      <w:r>
        <w:rPr>
          <w:rFonts w:ascii="Times New Roman" w:hAnsi="Times New Roman"/>
          <w:sz w:val="24"/>
        </w:rPr>
        <w:t xml:space="preserve"> </w:t>
      </w:r>
      <w:r>
        <w:rPr>
          <w:rFonts w:ascii="Times New Roman" w:hAnsi="Times New Roman"/>
          <w:sz w:val="24"/>
        </w:rPr>
        <w:t xml:space="preserve">IEA, Paris, 2022. Available:</w:t>
      </w:r>
      <w:r>
        <w:rPr>
          <w:rFonts w:ascii="Times New Roman" w:hAnsi="Times New Roman"/>
          <w:sz w:val="24"/>
        </w:rPr>
        <w:t xml:space="preserve"> </w:t>
      </w:r>
      <w:hyperlink r:id="rId67">
        <w:r>
          <w:rPr>
            <w:rStyle w:val="Hyperlink"/>
          </w:rPr>
          <w:t xml:space="preserve">https://www.iea.org/reports/the-future-of-heat-pumps</w:t>
        </w:r>
      </w:hyperlink>
    </w:p>
    <w:bookmarkEnd w:id="68"/>
    <w:bookmarkStart w:id="69" w:name="ref-Abbasi2021"/>
    <w:p>
      <w:pPr>
        <w:pStyle w:val="Bibliography"/>
      </w:pPr>
      <w:r>
        <w:rPr>
          <w:rFonts w:ascii="Times New Roman" w:hAnsi="Times New Roman"/>
          <w:sz w:val="24"/>
        </w:rPr>
        <w:t xml:space="preserve">[6]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M. H. Abbasi</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“Heat transition in the</w:t>
      </w:r>
      <w:r>
        <w:rPr>
          <w:rFonts w:ascii="Times New Roman" w:hAnsi="Times New Roman"/>
          <w:sz w:val="24"/>
        </w:rPr>
        <w:t xml:space="preserve"> </w:t>
      </w:r>
      <w:r>
        <w:rPr>
          <w:rFonts w:ascii="Times New Roman" w:hAnsi="Times New Roman"/>
          <w:sz w:val="24"/>
        </w:rPr>
        <w:t xml:space="preserve">European</w:t>
      </w:r>
      <w:r>
        <w:rPr>
          <w:rFonts w:ascii="Times New Roman" w:hAnsi="Times New Roman"/>
          <w:sz w:val="24"/>
        </w:rPr>
        <w:t xml:space="preserve"> </w:t>
      </w:r>
      <w:r>
        <w:rPr>
          <w:rFonts w:ascii="Times New Roman" w:hAnsi="Times New Roman"/>
          <w:sz w:val="24"/>
        </w:rPr>
        <w:t xml:space="preserve">building sector: Overview of the heat decarbonisation practices through heat pump technology,”</w:t>
      </w:r>
      <w:r>
        <w:rPr>
          <w:rFonts w:ascii="Times New Roman" w:hAnsi="Times New Roman"/>
          <w:sz w:val="24"/>
        </w:rPr>
        <w:t xml:space="preserve"> </w:t>
      </w:r>
      <w:r>
        <w:rPr>
          <w:rFonts w:ascii="Times New Roman" w:hAnsi="Times New Roman"/>
          <w:i/>
          <w:iCs/>
          <w:sz w:val="24"/>
        </w:rPr>
        <w:t xml:space="preserve">Sustainable Energy Technologies and Assessments</w:t>
      </w:r>
      <w:r>
        <w:rPr>
          <w:rFonts w:ascii="Times New Roman" w:hAnsi="Times New Roman"/>
          <w:sz w:val="24"/>
        </w:rPr>
        <w:t xml:space="preserve">, 2021.</w:t>
      </w:r>
    </w:p>
    <w:bookmarkEnd w:id="69"/>
    <w:bookmarkStart w:id="71" w:name="ref-Lingard2020Residential"/>
    <w:p>
      <w:pPr>
        <w:pStyle w:val="Bibliography"/>
      </w:pPr>
      <w:r>
        <w:rPr>
          <w:rFonts w:ascii="Times New Roman" w:hAnsi="Times New Roman"/>
          <w:sz w:val="24"/>
        </w:rPr>
        <w:t xml:space="preserve">[7]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 Lingard,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Residential retrofit in the UK: The optimum retrofit measures necessary for effective heat pump use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Building Services Engineering Research and Technology</w:t>
      </w:r>
      <w:r>
        <w:rPr>
          <w:rFonts w:ascii="Times New Roman" w:hAnsi="Times New Roman"/>
          <w:sz w:val="24"/>
        </w:rPr>
        <w:t xml:space="preserve">, 2020, doi:</w:t>
      </w:r>
      <w:r>
        <w:rPr>
          <w:rFonts w:ascii="Times New Roman" w:hAnsi="Times New Roman"/>
          <w:sz w:val="24"/>
        </w:rPr>
        <w:t xml:space="preserve"> </w:t>
      </w:r>
      <w:hyperlink r:id="rId70">
        <w:r>
          <w:rPr>
            <w:rStyle w:val="Hyperlink"/>
          </w:rPr>
          <w:t xml:space="preserve">10.1177/0143624420975707</w:t>
        </w:r>
      </w:hyperlink>
      <w:r>
        <w:rPr>
          <w:rFonts w:ascii="Times New Roman" w:hAnsi="Times New Roman"/>
          <w:sz w:val="24"/>
        </w:rPr>
        <w:t xml:space="preserve">.</w:t>
      </w:r>
    </w:p>
    <w:bookmarkEnd w:id="71"/>
    <w:bookmarkStart w:id="73" w:name="ref-Gibb2023Coming"/>
    <w:p>
      <w:pPr>
        <w:pStyle w:val="Bibliography"/>
      </w:pPr>
      <w:r>
        <w:rPr>
          <w:rFonts w:ascii="Times New Roman" w:hAnsi="Times New Roman"/>
          <w:sz w:val="24"/>
        </w:rPr>
        <w:t xml:space="preserve">[8]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Gibb, J. Rosenow, R. Lowes, and N. Hewitt,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Coming in from the cold: Heat pump efficiency at low temperatures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2023, doi:</w:t>
      </w:r>
      <w:r>
        <w:rPr>
          <w:rFonts w:ascii="Times New Roman" w:hAnsi="Times New Roman"/>
          <w:sz w:val="24"/>
        </w:rPr>
        <w:t xml:space="preserve"> </w:t>
      </w:r>
      <w:hyperlink r:id="rId72">
        <w:r>
          <w:rPr>
            <w:rStyle w:val="Hyperlink"/>
          </w:rPr>
          <w:t xml:space="preserve">10.1016/j.joule.2023.08.005</w:t>
        </w:r>
      </w:hyperlink>
      <w:r>
        <w:rPr>
          <w:rFonts w:ascii="Times New Roman" w:hAnsi="Times New Roman"/>
          <w:sz w:val="24"/>
        </w:rPr>
        <w:t xml:space="preserve">.</w:t>
      </w:r>
    </w:p>
    <w:bookmarkEnd w:id="73"/>
    <w:bookmarkStart w:id="74" w:name="ref-Dodds2015"/>
    <w:p>
      <w:pPr>
        <w:pStyle w:val="Bibliography"/>
      </w:pPr>
      <w:r>
        <w:rPr>
          <w:rFonts w:ascii="Times New Roman" w:hAnsi="Times New Roman"/>
          <w:sz w:val="24"/>
        </w:rPr>
        <w:t xml:space="preserve">[9]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 E. Dodds</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“Hydrogen and fuel cell technologies for heating: A review,”</w:t>
      </w:r>
      <w:r>
        <w:rPr>
          <w:rFonts w:ascii="Times New Roman" w:hAnsi="Times New Roman"/>
          <w:sz w:val="24"/>
        </w:rPr>
        <w:t xml:space="preserve"> </w:t>
      </w:r>
      <w:r>
        <w:rPr>
          <w:rFonts w:ascii="Times New Roman" w:hAnsi="Times New Roman"/>
          <w:i/>
          <w:iCs/>
          <w:sz w:val="24"/>
        </w:rPr>
        <w:t xml:space="preserve">International Journal of Hydrogen Energy</w:t>
      </w:r>
      <w:r>
        <w:rPr>
          <w:rFonts w:ascii="Times New Roman" w:hAnsi="Times New Roman"/>
          <w:sz w:val="24"/>
        </w:rPr>
        <w:t xml:space="preserve">, 2015.</w:t>
      </w:r>
    </w:p>
    <w:bookmarkEnd w:id="74"/>
    <w:bookmarkStart w:id="76" w:name="ref-Bothe2021"/>
    <w:p>
      <w:pPr>
        <w:pStyle w:val="Bibliography"/>
      </w:pPr>
      <w:r>
        <w:rPr>
          <w:rFonts w:ascii="Times New Roman" w:hAnsi="Times New Roman"/>
          <w:sz w:val="24"/>
        </w:rPr>
        <w:t xml:space="preserve">[10]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Bothe and M. Janssen,</w:t>
      </w:r>
      <w:r>
        <w:rPr>
          <w:rFonts w:ascii="Times New Roman" w:hAnsi="Times New Roman"/>
          <w:sz w:val="24"/>
        </w:rPr>
        <w:t xml:space="preserve"> </w:t>
      </w:r>
      <w:r>
        <w:rPr>
          <w:rFonts w:ascii="Times New Roman" w:hAnsi="Times New Roman"/>
          <w:sz w:val="24"/>
        </w:rPr>
        <w:t xml:space="preserve">“The value of hydrogen in the heating market,”</w:t>
      </w:r>
      <w:r>
        <w:rPr>
          <w:rFonts w:ascii="Times New Roman" w:hAnsi="Times New Roman"/>
          <w:sz w:val="24"/>
        </w:rPr>
        <w:t xml:space="preserve"> </w:t>
      </w:r>
      <w:r>
        <w:rPr>
          <w:rFonts w:ascii="Times New Roman" w:hAnsi="Times New Roman"/>
          <w:sz w:val="24"/>
        </w:rPr>
        <w:t xml:space="preserve">Frontier Economics, for</w:t>
      </w:r>
      <w:r>
        <w:rPr>
          <w:rFonts w:ascii="Times New Roman" w:hAnsi="Times New Roman"/>
          <w:sz w:val="24"/>
        </w:rPr>
        <w:t xml:space="preserve"> </w:t>
      </w:r>
      <w:r>
        <w:rPr>
          <w:rFonts w:ascii="Times New Roman" w:hAnsi="Times New Roman"/>
          <w:sz w:val="24"/>
        </w:rPr>
        <w:t xml:space="preserve">FNB Gas</w:t>
      </w:r>
      <w:r>
        <w:rPr>
          <w:rFonts w:ascii="Times New Roman" w:hAnsi="Times New Roman"/>
          <w:sz w:val="24"/>
        </w:rPr>
        <w:t xml:space="preserve">, 2021. Available:</w:t>
      </w:r>
      <w:r>
        <w:rPr>
          <w:rFonts w:ascii="Times New Roman" w:hAnsi="Times New Roman"/>
          <w:sz w:val="24"/>
        </w:rPr>
        <w:t xml:space="preserve"> </w:t>
      </w:r>
      <w:hyperlink r:id="rId75">
        <w:r>
          <w:rPr>
            <w:rStyle w:val="Hyperlink"/>
          </w:rPr>
          <w:t xml:space="preserve">https://www.frontier-economics.com/media/byojuyut/the-value-of-hydrogen-in-the-heating-market.pdf</w:t>
        </w:r>
      </w:hyperlink>
    </w:p>
    <w:bookmarkEnd w:id="76"/>
    <w:bookmarkStart w:id="78" w:name="ref-REpowerEU2022"/>
    <w:p>
      <w:pPr>
        <w:pStyle w:val="Bibliography"/>
      </w:pPr>
      <w:r>
        <w:rPr>
          <w:rFonts w:ascii="Times New Roman" w:hAnsi="Times New Roman"/>
          <w:sz w:val="24"/>
        </w:rPr>
        <w:t xml:space="preserve">[11]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REPowerEU</w:t>
      </w:r>
      <w:r>
        <w:rPr>
          <w:rFonts w:ascii="Times New Roman" w:hAnsi="Times New Roman"/>
          <w:sz w:val="24"/>
        </w:rPr>
        <w:t xml:space="preserve"> </w:t>
      </w:r>
      <w:r>
        <w:rPr>
          <w:rFonts w:ascii="Times New Roman" w:hAnsi="Times New Roman"/>
          <w:sz w:val="24"/>
        </w:rPr>
        <w:t xml:space="preserve">plan,”</w:t>
      </w:r>
      <w:r>
        <w:rPr>
          <w:rFonts w:ascii="Times New Roman" w:hAnsi="Times New Roman"/>
          <w:sz w:val="24"/>
        </w:rPr>
        <w:t xml:space="preserve"> </w:t>
      </w:r>
      <w:r>
        <w:rPr>
          <w:rFonts w:ascii="Times New Roman" w:hAnsi="Times New Roman"/>
          <w:sz w:val="24"/>
        </w:rPr>
        <w:t xml:space="preserve">European Commission, Brussels, Communication from the Commission COM(2022) 230 final, May 2022. Available:</w:t>
      </w:r>
      <w:r>
        <w:rPr>
          <w:rFonts w:ascii="Times New Roman" w:hAnsi="Times New Roman"/>
          <w:sz w:val="24"/>
        </w:rPr>
        <w:t xml:space="preserve"> </w:t>
      </w:r>
      <w:hyperlink r:id="rId77">
        <w:r>
          <w:rPr>
            <w:rStyle w:val="Hyperlink"/>
          </w:rPr>
          <w:t xml:space="preserve">https://eur-lex.europa.eu/legal-content/EN/TXT/?uri=celex:52022DC0230</w:t>
        </w:r>
      </w:hyperlink>
    </w:p>
    <w:bookmarkEnd w:id="78"/>
    <w:bookmarkStart w:id="80" w:name="ref-EUCommissionSWD2022"/>
    <w:p>
      <w:pPr>
        <w:pStyle w:val="Bibliography"/>
      </w:pPr>
      <w:r>
        <w:rPr>
          <w:rFonts w:ascii="Times New Roman" w:hAnsi="Times New Roman"/>
          <w:sz w:val="24"/>
        </w:rPr>
        <w:t xml:space="preserve">[12]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“Implementing the</w:t>
      </w:r>
      <w:r>
        <w:rPr>
          <w:rFonts w:ascii="Times New Roman" w:hAnsi="Times New Roman"/>
          <w:sz w:val="24"/>
        </w:rPr>
        <w:t xml:space="preserve"> </w:t>
      </w:r>
      <w:r>
        <w:rPr>
          <w:rFonts w:ascii="Times New Roman" w:hAnsi="Times New Roman"/>
          <w:sz w:val="24"/>
        </w:rPr>
        <w:t xml:space="preserve">REPowerEU</w:t>
      </w:r>
      <w:r>
        <w:rPr>
          <w:rFonts w:ascii="Times New Roman" w:hAnsi="Times New Roman"/>
          <w:sz w:val="24"/>
        </w:rPr>
        <w:t xml:space="preserve"> </w:t>
      </w:r>
      <w:r>
        <w:rPr>
          <w:rFonts w:ascii="Times New Roman" w:hAnsi="Times New Roman"/>
          <w:sz w:val="24"/>
        </w:rPr>
        <w:t xml:space="preserve">action plan: Investment needs, hydrogen accelerator and achieving the bio-methane targets,”</w:t>
      </w:r>
      <w:r>
        <w:rPr>
          <w:rFonts w:ascii="Times New Roman" w:hAnsi="Times New Roman"/>
          <w:sz w:val="24"/>
        </w:rPr>
        <w:t xml:space="preserve"> </w:t>
      </w:r>
      <w:r>
        <w:rPr>
          <w:rFonts w:ascii="Times New Roman" w:hAnsi="Times New Roman"/>
          <w:sz w:val="24"/>
        </w:rPr>
        <w:t xml:space="preserve">European Commission Staff Working Document, 2022. Available:</w:t>
      </w:r>
      <w:r>
        <w:rPr>
          <w:rFonts w:ascii="Times New Roman" w:hAnsi="Times New Roman"/>
          <w:sz w:val="24"/>
        </w:rPr>
        <w:t xml:space="preserve"> </w:t>
      </w:r>
      <w:hyperlink r:id="rId79">
        <w:r>
          <w:rPr>
            <w:rStyle w:val="Hyperlink"/>
          </w:rPr>
          <w:t xml:space="preserve">https://eur-lex.europa.eu/legal-content/EN/TXT/?uri=SWD:2022:230:FIN</w:t>
        </w:r>
      </w:hyperlink>
    </w:p>
    <w:bookmarkEnd w:id="80"/>
    <w:bookmarkStart w:id="82" w:name="ref-Goldthau2023Eu"/>
    <w:p>
      <w:pPr>
        <w:pStyle w:val="Bibliography"/>
      </w:pPr>
      <w:r>
        <w:rPr>
          <w:rFonts w:ascii="Times New Roman" w:hAnsi="Times New Roman"/>
          <w:sz w:val="24"/>
        </w:rPr>
        <w:t xml:space="preserve">[13]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Goldthau and R. Youngs,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EU Energy Crisis and a New Geopolitics of Climate Transition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JCMS Journal of Common Market Studies</w:t>
      </w:r>
      <w:r>
        <w:rPr>
          <w:rFonts w:ascii="Times New Roman" w:hAnsi="Times New Roman"/>
          <w:sz w:val="24"/>
        </w:rPr>
        <w:t xml:space="preserve">, 2023, doi:</w:t>
      </w:r>
      <w:r>
        <w:rPr>
          <w:rFonts w:ascii="Times New Roman" w:hAnsi="Times New Roman"/>
          <w:sz w:val="24"/>
        </w:rPr>
        <w:t xml:space="preserve"> </w:t>
      </w:r>
      <w:hyperlink r:id="rId81">
        <w:r>
          <w:rPr>
            <w:rStyle w:val="Hyperlink"/>
          </w:rPr>
          <w:t xml:space="preserve">10.1111/jcms.13539</w:t>
        </w:r>
      </w:hyperlink>
      <w:r>
        <w:rPr>
          <w:rFonts w:ascii="Times New Roman" w:hAnsi="Times New Roman"/>
          <w:sz w:val="24"/>
        </w:rPr>
        <w:t xml:space="preserve">.</w:t>
      </w:r>
    </w:p>
    <w:bookmarkEnd w:id="82"/>
    <w:bookmarkStart w:id="84" w:name="ref-Rosenow2022PipeDream"/>
    <w:p>
      <w:pPr>
        <w:pStyle w:val="Bibliography"/>
      </w:pPr>
      <w:r>
        <w:rPr>
          <w:rFonts w:ascii="Times New Roman" w:hAnsi="Times New Roman"/>
          <w:sz w:val="24"/>
        </w:rPr>
        <w:t xml:space="preserve">[14]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 Rosenow,</w:t>
      </w:r>
      <w:r>
        <w:rPr>
          <w:rFonts w:ascii="Times New Roman" w:hAnsi="Times New Roman"/>
          <w:sz w:val="24"/>
        </w:rPr>
        <w:t xml:space="preserve"> </w:t>
      </w:r>
      <w:r>
        <w:rPr>
          <w:rFonts w:ascii="Times New Roman" w:hAnsi="Times New Roman"/>
          <w:sz w:val="24"/>
        </w:rPr>
        <w:t xml:space="preserve">“Is heating homes with hydrogen all but a pipe dream?</w:t>
      </w:r>
      <w:r>
        <w:rPr>
          <w:rFonts w:ascii="Times New Roman" w:hAnsi="Times New Roman"/>
          <w:sz w:val="24"/>
        </w:rPr>
        <w:t xml:space="preserve"> </w:t>
      </w:r>
      <w:r>
        <w:rPr>
          <w:rFonts w:ascii="Times New Roman" w:hAnsi="Times New Roman"/>
          <w:sz w:val="24"/>
        </w:rPr>
        <w:t xml:space="preserve">A</w:t>
      </w:r>
      <w:r>
        <w:rPr>
          <w:rFonts w:ascii="Times New Roman" w:hAnsi="Times New Roman"/>
          <w:sz w:val="24"/>
        </w:rPr>
        <w:t xml:space="preserve">n evidence review,”</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vol. 6, no. 10, pp. 2225–2228, 2022, doi:</w:t>
      </w:r>
      <w:r>
        <w:rPr>
          <w:rFonts w:ascii="Times New Roman" w:hAnsi="Times New Roman"/>
          <w:sz w:val="24"/>
        </w:rPr>
        <w:t xml:space="preserve"> </w:t>
      </w:r>
      <w:hyperlink r:id="rId83">
        <w:r>
          <w:rPr>
            <w:rStyle w:val="Hyperlink"/>
          </w:rPr>
          <w:t xml:space="preserve">10.1016/j.joule.2022.08.015</w:t>
        </w:r>
      </w:hyperlink>
      <w:r>
        <w:rPr>
          <w:rFonts w:ascii="Times New Roman" w:hAnsi="Times New Roman"/>
          <w:sz w:val="24"/>
        </w:rPr>
        <w:t xml:space="preserve">.</w:t>
      </w:r>
    </w:p>
    <w:bookmarkEnd w:id="84"/>
    <w:bookmarkStart w:id="86" w:name="ref-Rosenow2024MetaReview"/>
    <w:p>
      <w:pPr>
        <w:pStyle w:val="Bibliography"/>
      </w:pPr>
      <w:r>
        <w:rPr>
          <w:rFonts w:ascii="Times New Roman" w:hAnsi="Times New Roman"/>
          <w:sz w:val="24"/>
        </w:rPr>
        <w:t xml:space="preserve">[15]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 Rosenow,</w:t>
      </w:r>
      <w:r>
        <w:rPr>
          <w:rFonts w:ascii="Times New Roman" w:hAnsi="Times New Roman"/>
          <w:sz w:val="24"/>
        </w:rPr>
        <w:t xml:space="preserve"> </w:t>
      </w:r>
      <w:r>
        <w:rPr>
          <w:rFonts w:ascii="Times New Roman" w:hAnsi="Times New Roman"/>
          <w:sz w:val="24"/>
        </w:rPr>
        <w:t xml:space="preserve">“A meta-review of 54 studies on hydrogen heating,”</w:t>
      </w:r>
      <w:r>
        <w:rPr>
          <w:rFonts w:ascii="Times New Roman" w:hAnsi="Times New Roman"/>
          <w:sz w:val="24"/>
        </w:rPr>
        <w:t xml:space="preserve"> </w:t>
      </w:r>
      <w:r>
        <w:rPr>
          <w:rFonts w:ascii="Times New Roman" w:hAnsi="Times New Roman"/>
          <w:i/>
          <w:iCs/>
          <w:sz w:val="24"/>
        </w:rPr>
        <w:t xml:space="preserve">Cell Reports Sustainability</w:t>
      </w:r>
      <w:r>
        <w:rPr>
          <w:rFonts w:ascii="Times New Roman" w:hAnsi="Times New Roman"/>
          <w:sz w:val="24"/>
        </w:rPr>
        <w:t xml:space="preserve">, vol. 1, no. 1, p. 100010, 2024, doi:</w:t>
      </w:r>
      <w:r>
        <w:rPr>
          <w:rFonts w:ascii="Times New Roman" w:hAnsi="Times New Roman"/>
          <w:sz w:val="24"/>
        </w:rPr>
        <w:t xml:space="preserve"> </w:t>
      </w:r>
      <w:hyperlink r:id="rId85">
        <w:r>
          <w:rPr>
            <w:rStyle w:val="Hyperlink"/>
          </w:rPr>
          <w:t xml:space="preserve">10.1016/j.crsus.2023.100010</w:t>
        </w:r>
      </w:hyperlink>
      <w:r>
        <w:rPr>
          <w:rFonts w:ascii="Times New Roman" w:hAnsi="Times New Roman"/>
          <w:sz w:val="24"/>
        </w:rPr>
        <w:t xml:space="preserve">.</w:t>
      </w:r>
    </w:p>
    <w:bookmarkEnd w:id="86"/>
    <w:bookmarkStart w:id="88" w:name="ref-Cebon2022"/>
    <w:p>
      <w:pPr>
        <w:pStyle w:val="Bibliography"/>
      </w:pPr>
      <w:r>
        <w:rPr>
          <w:rFonts w:ascii="Times New Roman" w:hAnsi="Times New Roman"/>
          <w:sz w:val="24"/>
        </w:rPr>
        <w:t xml:space="preserve">[16]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Cebon,</w:t>
      </w:r>
      <w:r>
        <w:rPr>
          <w:rFonts w:ascii="Times New Roman" w:hAnsi="Times New Roman"/>
          <w:sz w:val="24"/>
        </w:rPr>
        <w:t xml:space="preserve"> </w:t>
      </w:r>
      <w:r>
        <w:rPr>
          <w:rFonts w:ascii="Times New Roman" w:hAnsi="Times New Roman"/>
          <w:sz w:val="24"/>
        </w:rPr>
        <w:t xml:space="preserve">“Hydrogen for heating: A comparison with heat pumps.”</w:t>
      </w:r>
      <w:r>
        <w:rPr>
          <w:rFonts w:ascii="Times New Roman" w:hAnsi="Times New Roman"/>
          <w:sz w:val="24"/>
        </w:rPr>
        <w:t xml:space="preserve"> </w:t>
      </w:r>
      <w:r>
        <w:rPr>
          <w:rFonts w:ascii="Times New Roman" w:hAnsi="Times New Roman"/>
          <w:sz w:val="24"/>
        </w:rPr>
        <w:t xml:space="preserve">2022. Available:</w:t>
      </w:r>
      <w:r>
        <w:rPr>
          <w:rFonts w:ascii="Times New Roman" w:hAnsi="Times New Roman"/>
          <w:sz w:val="24"/>
        </w:rPr>
        <w:t xml:space="preserve"> </w:t>
      </w:r>
      <w:hyperlink r:id="rId87">
        <w:r>
          <w:rPr>
            <w:rStyle w:val="Hyperlink"/>
          </w:rPr>
          <w:t xml:space="preserve">https://h2sciencecoalition.com/blog/hydrogen-for-heating-a-comparison-with-heat-pumps-part-1/</w:t>
        </w:r>
      </w:hyperlink>
    </w:p>
    <w:bookmarkEnd w:id="88"/>
    <w:bookmarkStart w:id="90" w:name="ref-Badakhsh2023Caveats"/>
    <w:p>
      <w:pPr>
        <w:pStyle w:val="Bibliography"/>
      </w:pPr>
      <w:r>
        <w:rPr>
          <w:rFonts w:ascii="Times New Roman" w:hAnsi="Times New Roman"/>
          <w:sz w:val="24"/>
        </w:rPr>
        <w:t xml:space="preserve">[17]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Badakhsh and S. M. Bhagavathy,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Caveats of green hydrogen for decarbonisation of heating in buildings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Applied Energy</w:t>
      </w:r>
      <w:r>
        <w:rPr>
          <w:rFonts w:ascii="Times New Roman" w:hAnsi="Times New Roman"/>
          <w:sz w:val="24"/>
        </w:rPr>
        <w:t xml:space="preserve">, 2023, doi:</w:t>
      </w:r>
      <w:r>
        <w:rPr>
          <w:rFonts w:ascii="Times New Roman" w:hAnsi="Times New Roman"/>
          <w:sz w:val="24"/>
        </w:rPr>
        <w:t xml:space="preserve"> </w:t>
      </w:r>
      <w:hyperlink r:id="rId89">
        <w:r>
          <w:rPr>
            <w:rStyle w:val="Hyperlink"/>
          </w:rPr>
          <w:t xml:space="preserve">10.1016/j.apenergy.2023.122152</w:t>
        </w:r>
      </w:hyperlink>
      <w:r>
        <w:rPr>
          <w:rFonts w:ascii="Times New Roman" w:hAnsi="Times New Roman"/>
          <w:sz w:val="24"/>
        </w:rPr>
        <w:t xml:space="preserve">.</w:t>
      </w:r>
    </w:p>
    <w:bookmarkEnd w:id="90"/>
    <w:bookmarkStart w:id="92" w:name="ref-ICCT2023h2heating"/>
    <w:p>
      <w:pPr>
        <w:pStyle w:val="Bibliography"/>
      </w:pPr>
      <w:r>
        <w:rPr>
          <w:rFonts w:ascii="Times New Roman" w:hAnsi="Times New Roman"/>
          <w:sz w:val="24"/>
        </w:rPr>
        <w:t xml:space="preserve">[18]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C. Baldino, J. O’Malley, S. Searle, and A. Christensen,</w:t>
      </w:r>
      <w:r>
        <w:rPr>
          <w:rFonts w:ascii="Times New Roman" w:hAnsi="Times New Roman"/>
          <w:sz w:val="24"/>
        </w:rPr>
        <w:t xml:space="preserve"> </w:t>
      </w:r>
      <w:r>
        <w:rPr>
          <w:rFonts w:ascii="Times New Roman" w:hAnsi="Times New Roman"/>
          <w:sz w:val="24"/>
        </w:rPr>
        <w:t xml:space="preserve">“Hydrogen for heating? Decarbonization options for households in the</w:t>
      </w:r>
      <w:r>
        <w:rPr>
          <w:rFonts w:ascii="Times New Roman" w:hAnsi="Times New Roman"/>
          <w:sz w:val="24"/>
        </w:rPr>
        <w:t xml:space="preserve"> </w:t>
      </w:r>
      <w:r>
        <w:rPr>
          <w:rFonts w:ascii="Times New Roman" w:hAnsi="Times New Roman"/>
          <w:sz w:val="24"/>
        </w:rPr>
        <w:t xml:space="preserve">European Union</w:t>
      </w:r>
      <w:r>
        <w:rPr>
          <w:rFonts w:ascii="Times New Roman" w:hAnsi="Times New Roman"/>
          <w:sz w:val="24"/>
        </w:rPr>
        <w:t xml:space="preserve"> </w:t>
      </w:r>
      <w:r>
        <w:rPr>
          <w:rFonts w:ascii="Times New Roman" w:hAnsi="Times New Roman"/>
          <w:sz w:val="24"/>
        </w:rPr>
        <w:t xml:space="preserve">in 2050,”</w:t>
      </w:r>
      <w:r>
        <w:rPr>
          <w:rFonts w:ascii="Times New Roman" w:hAnsi="Times New Roman"/>
          <w:sz w:val="24"/>
        </w:rPr>
        <w:t xml:space="preserve"> </w:t>
      </w:r>
      <w:r>
        <w:rPr>
          <w:rFonts w:ascii="Times New Roman" w:hAnsi="Times New Roman"/>
          <w:sz w:val="24"/>
        </w:rPr>
        <w:t xml:space="preserve">International Council on Clean Transportation (ICCT), Mar. 2021. Available:</w:t>
      </w:r>
      <w:r>
        <w:rPr>
          <w:rFonts w:ascii="Times New Roman" w:hAnsi="Times New Roman"/>
          <w:sz w:val="24"/>
        </w:rPr>
        <w:t xml:space="preserve"> </w:t>
      </w:r>
      <w:hyperlink r:id="rId91">
        <w:r>
          <w:rPr>
            <w:rStyle w:val="Hyperlink"/>
          </w:rPr>
          <w:t xml:space="preserve">https://theicct.org/publication/hydrogen-for-heating-decarbonization-options-for-households-in-the-european-union-in-2050/</w:t>
        </w:r>
      </w:hyperlink>
    </w:p>
    <w:bookmarkEnd w:id="92"/>
    <w:bookmarkStart w:id="94" w:name="ref-Billerbeck2023Race"/>
    <w:p>
      <w:pPr>
        <w:pStyle w:val="Bibliography"/>
      </w:pPr>
      <w:r>
        <w:rPr>
          <w:rFonts w:ascii="Times New Roman" w:hAnsi="Times New Roman"/>
          <w:sz w:val="24"/>
        </w:rPr>
        <w:t xml:space="preserve">[19]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Billerbeck</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race between hydrogen and heat pumps for space and water heating: A model-based scenario analysis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 Conversion and Management</w:t>
      </w:r>
      <w:r>
        <w:rPr>
          <w:rFonts w:ascii="Times New Roman" w:hAnsi="Times New Roman"/>
          <w:sz w:val="24"/>
        </w:rPr>
        <w:t xml:space="preserve">, 2023, doi:</w:t>
      </w:r>
      <w:r>
        <w:rPr>
          <w:rFonts w:ascii="Times New Roman" w:hAnsi="Times New Roman"/>
          <w:sz w:val="24"/>
        </w:rPr>
        <w:t xml:space="preserve"> </w:t>
      </w:r>
      <w:hyperlink r:id="rId93">
        <w:r>
          <w:rPr>
            <w:rStyle w:val="Hyperlink"/>
          </w:rPr>
          <w:t xml:space="preserve">10.1016/j.enconman.2023.117850</w:t>
        </w:r>
      </w:hyperlink>
      <w:r>
        <w:rPr>
          <w:rFonts w:ascii="Times New Roman" w:hAnsi="Times New Roman"/>
          <w:sz w:val="24"/>
        </w:rPr>
        <w:t xml:space="preserve">.</w:t>
      </w:r>
    </w:p>
    <w:bookmarkEnd w:id="94"/>
    <w:bookmarkStart w:id="96" w:name="ref-Brown2018Synergies"/>
    <w:p>
      <w:pPr>
        <w:pStyle w:val="Bibliography"/>
      </w:pPr>
      <w:r>
        <w:rPr>
          <w:rFonts w:ascii="Times New Roman" w:hAnsi="Times New Roman"/>
          <w:sz w:val="24"/>
        </w:rPr>
        <w:t xml:space="preserve">[20]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T. Brown, D. Schlachtberger, A. Kies, S. Schramm, and M. Greiner,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Synergies of sector coupling and transmission reinforcement in a cost-optimised, highly renewable European energy system</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2018, doi:</w:t>
      </w:r>
      <w:r>
        <w:rPr>
          <w:rFonts w:ascii="Times New Roman" w:hAnsi="Times New Roman"/>
          <w:sz w:val="24"/>
        </w:rPr>
        <w:t xml:space="preserve"> </w:t>
      </w:r>
      <w:hyperlink r:id="rId95">
        <w:r>
          <w:rPr>
            <w:rStyle w:val="Hyperlink"/>
          </w:rPr>
          <w:t xml:space="preserve">10.1016/j.energy.2018.06.222</w:t>
        </w:r>
      </w:hyperlink>
      <w:r>
        <w:rPr>
          <w:rFonts w:ascii="Times New Roman" w:hAnsi="Times New Roman"/>
          <w:sz w:val="24"/>
        </w:rPr>
        <w:t xml:space="preserve">.</w:t>
      </w:r>
    </w:p>
    <w:bookmarkEnd w:id="96"/>
    <w:bookmarkStart w:id="98" w:name="ref-Neumann2023H2Network"/>
    <w:p>
      <w:pPr>
        <w:pStyle w:val="Bibliography"/>
      </w:pPr>
      <w:r>
        <w:rPr>
          <w:rFonts w:ascii="Times New Roman" w:hAnsi="Times New Roman"/>
          <w:sz w:val="24"/>
        </w:rPr>
        <w:t xml:space="preserve">[21]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F. Neumann, E. Zeyen, M. Victoria, and T. Brown,</w:t>
      </w:r>
      <w:r>
        <w:rPr>
          <w:rFonts w:ascii="Times New Roman" w:hAnsi="Times New Roman"/>
          <w:sz w:val="24"/>
        </w:rPr>
        <w:t xml:space="preserve"> </w:t>
      </w:r>
      <w:r>
        <w:rPr>
          <w:rFonts w:ascii="Times New Roman" w:hAnsi="Times New Roman"/>
          <w:sz w:val="24"/>
        </w:rPr>
        <w:t xml:space="preserve">“The potential role of a hydrogen network in</w:t>
      </w:r>
      <w:r>
        <w:rPr>
          <w:rFonts w:ascii="Times New Roman" w:hAnsi="Times New Roman"/>
          <w:sz w:val="24"/>
        </w:rPr>
        <w:t xml:space="preserve"> </w:t>
      </w:r>
      <w:r>
        <w:rPr>
          <w:rFonts w:ascii="Times New Roman" w:hAnsi="Times New Roman"/>
          <w:sz w:val="24"/>
        </w:rPr>
        <w:t xml:space="preserve">Europe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vol. 7, no. 8, pp. 1793–1817, 2023, doi:</w:t>
      </w:r>
      <w:r>
        <w:rPr>
          <w:rFonts w:ascii="Times New Roman" w:hAnsi="Times New Roman"/>
          <w:sz w:val="24"/>
        </w:rPr>
        <w:t xml:space="preserve"> </w:t>
      </w:r>
      <w:hyperlink r:id="rId97">
        <w:r>
          <w:rPr>
            <w:rStyle w:val="Hyperlink"/>
          </w:rPr>
          <w:t xml:space="preserve">10.1016/j.joule.2023.06.016</w:t>
        </w:r>
      </w:hyperlink>
      <w:r>
        <w:rPr>
          <w:rFonts w:ascii="Times New Roman" w:hAnsi="Times New Roman"/>
          <w:sz w:val="24"/>
        </w:rPr>
        <w:t xml:space="preserve">.</w:t>
      </w:r>
    </w:p>
    <w:bookmarkEnd w:id="98"/>
    <w:bookmarkStart w:id="100" w:name="ref-Kountouris2024Unified"/>
    <w:p>
      <w:pPr>
        <w:pStyle w:val="Bibliography"/>
      </w:pPr>
      <w:r>
        <w:rPr>
          <w:rFonts w:ascii="Times New Roman" w:hAnsi="Times New Roman"/>
          <w:sz w:val="24"/>
        </w:rPr>
        <w:t xml:space="preserve">[22]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 Kountouris, R. Bramstoft, T. Madsen, J. Gea-Bermúdez, M. Münster, and D. Keles,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unified European hydrogen infrastructure planning to support the rapid scale-up of hydrogen production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Nature Communications</w:t>
      </w:r>
      <w:r>
        <w:rPr>
          <w:rFonts w:ascii="Times New Roman" w:hAnsi="Times New Roman"/>
          <w:sz w:val="24"/>
        </w:rPr>
        <w:t xml:space="preserve">, 2024, doi:</w:t>
      </w:r>
      <w:r>
        <w:rPr>
          <w:rFonts w:ascii="Times New Roman" w:hAnsi="Times New Roman"/>
          <w:sz w:val="24"/>
        </w:rPr>
        <w:t xml:space="preserve"> </w:t>
      </w:r>
      <w:hyperlink r:id="rId99">
        <w:r>
          <w:rPr>
            <w:rStyle w:val="Hyperlink"/>
          </w:rPr>
          <w:t xml:space="preserve">10.1038/s41467-024-49867-w</w:t>
        </w:r>
      </w:hyperlink>
      <w:r>
        <w:rPr>
          <w:rFonts w:ascii="Times New Roman" w:hAnsi="Times New Roman"/>
          <w:sz w:val="24"/>
        </w:rPr>
        <w:t xml:space="preserve">.</w:t>
      </w:r>
    </w:p>
    <w:bookmarkEnd w:id="100"/>
    <w:bookmarkStart w:id="101" w:name="ref-Maestre2022"/>
    <w:p>
      <w:pPr>
        <w:pStyle w:val="Bibliography"/>
      </w:pPr>
      <w:r>
        <w:rPr>
          <w:rFonts w:ascii="Times New Roman" w:hAnsi="Times New Roman"/>
          <w:sz w:val="24"/>
        </w:rPr>
        <w:t xml:space="preserve">[23]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V. M. Maestre, A. Ortiz, and I. Ortiz,</w:t>
      </w:r>
      <w:r>
        <w:rPr>
          <w:rFonts w:ascii="Times New Roman" w:hAnsi="Times New Roman"/>
          <w:sz w:val="24"/>
        </w:rPr>
        <w:t xml:space="preserve"> </w:t>
      </w:r>
      <w:r>
        <w:rPr>
          <w:rFonts w:ascii="Times New Roman" w:hAnsi="Times New Roman"/>
          <w:sz w:val="24"/>
        </w:rPr>
        <w:t xml:space="preserve">“Transition to a low-carbon buildings stock: Techno-economic and spatial optimization of renewables-hydrogen strategies in</w:t>
      </w:r>
      <w:r>
        <w:rPr>
          <w:rFonts w:ascii="Times New Roman" w:hAnsi="Times New Roman"/>
          <w:sz w:val="24"/>
        </w:rPr>
        <w:t xml:space="preserve"> </w:t>
      </w:r>
      <w:r>
        <w:rPr>
          <w:rFonts w:ascii="Times New Roman" w:hAnsi="Times New Roman"/>
          <w:sz w:val="24"/>
        </w:rPr>
        <w:t xml:space="preserve">Spain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Journal of Energy Storage</w:t>
      </w:r>
      <w:r>
        <w:rPr>
          <w:rFonts w:ascii="Times New Roman" w:hAnsi="Times New Roman"/>
          <w:sz w:val="24"/>
        </w:rPr>
        <w:t xml:space="preserve">, 2022.</w:t>
      </w:r>
    </w:p>
    <w:bookmarkEnd w:id="101"/>
    <w:bookmarkStart w:id="102" w:name="ref-Huckebrink2022"/>
    <w:p>
      <w:pPr>
        <w:pStyle w:val="Bibliography"/>
      </w:pPr>
      <w:r>
        <w:rPr>
          <w:rFonts w:ascii="Times New Roman" w:hAnsi="Times New Roman"/>
          <w:sz w:val="24"/>
        </w:rPr>
        <w:t xml:space="preserve">[24]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Huckebrink and V. Bertsch,</w:t>
      </w:r>
      <w:r>
        <w:rPr>
          <w:rFonts w:ascii="Times New Roman" w:hAnsi="Times New Roman"/>
          <w:sz w:val="24"/>
        </w:rPr>
        <w:t xml:space="preserve"> </w:t>
      </w:r>
      <w:r>
        <w:rPr>
          <w:rFonts w:ascii="Times New Roman" w:hAnsi="Times New Roman"/>
          <w:sz w:val="24"/>
        </w:rPr>
        <w:t xml:space="preserve">“Decarbonising the residential heating sector: A techno-economic assessment of selected technologies,”</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2022.</w:t>
      </w:r>
    </w:p>
    <w:bookmarkEnd w:id="102"/>
    <w:bookmarkStart w:id="103" w:name="ref-Hoseinpoori2022"/>
    <w:p>
      <w:pPr>
        <w:pStyle w:val="Bibliography"/>
      </w:pPr>
      <w:r>
        <w:rPr>
          <w:rFonts w:ascii="Times New Roman" w:hAnsi="Times New Roman"/>
          <w:sz w:val="24"/>
        </w:rPr>
        <w:t xml:space="preserve">[25]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 Hoseinpoori</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 whole-system approach for quantifying the value of smart electrification for decarbonising heating in buildings,”</w:t>
      </w:r>
      <w:r>
        <w:rPr>
          <w:rFonts w:ascii="Times New Roman" w:hAnsi="Times New Roman"/>
          <w:sz w:val="24"/>
        </w:rPr>
        <w:t xml:space="preserve"> </w:t>
      </w:r>
      <w:r>
        <w:rPr>
          <w:rFonts w:ascii="Times New Roman" w:hAnsi="Times New Roman"/>
          <w:i/>
          <w:iCs/>
          <w:sz w:val="24"/>
        </w:rPr>
        <w:t xml:space="preserve">Energy Conversion and Management</w:t>
      </w:r>
      <w:r>
        <w:rPr>
          <w:rFonts w:ascii="Times New Roman" w:hAnsi="Times New Roman"/>
          <w:sz w:val="24"/>
        </w:rPr>
        <w:t xml:space="preserve">, 2022.</w:t>
      </w:r>
    </w:p>
    <w:bookmarkEnd w:id="103"/>
    <w:bookmarkStart w:id="105" w:name="ref-Mller2019Heat"/>
    <w:p>
      <w:pPr>
        <w:pStyle w:val="Bibliography"/>
      </w:pPr>
      <w:r>
        <w:rPr>
          <w:rFonts w:ascii="Times New Roman" w:hAnsi="Times New Roman"/>
          <w:sz w:val="24"/>
        </w:rPr>
        <w:t xml:space="preserve">[26]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B. Möller, E. Wiechers, U. Persson, L. Grundahl, R. S. Lund, and B. V. Mathiesen,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Heat Roadmap Europe: Towards EU-Wide, local heat supply strategies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2019, doi:</w:t>
      </w:r>
      <w:r>
        <w:rPr>
          <w:rFonts w:ascii="Times New Roman" w:hAnsi="Times New Roman"/>
          <w:sz w:val="24"/>
        </w:rPr>
        <w:t xml:space="preserve"> </w:t>
      </w:r>
      <w:hyperlink r:id="rId104">
        <w:r>
          <w:rPr>
            <w:rStyle w:val="Hyperlink"/>
          </w:rPr>
          <w:t xml:space="preserve">10.1016/j.energy.2019.04.098</w:t>
        </w:r>
      </w:hyperlink>
      <w:r>
        <w:rPr>
          <w:rFonts w:ascii="Times New Roman" w:hAnsi="Times New Roman"/>
          <w:sz w:val="24"/>
        </w:rPr>
        <w:t xml:space="preserve">.</w:t>
      </w:r>
    </w:p>
    <w:bookmarkEnd w:id="105"/>
    <w:bookmarkStart w:id="107" w:name="ref-Persson2019Heat"/>
    <w:p>
      <w:pPr>
        <w:pStyle w:val="Bibliography"/>
      </w:pPr>
      <w:r>
        <w:rPr>
          <w:rFonts w:ascii="Times New Roman" w:hAnsi="Times New Roman"/>
          <w:sz w:val="24"/>
        </w:rPr>
        <w:t xml:space="preserve">[27]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U. Persson, E. Wiechers, B. Möller, and S. Werner,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Heat Roadmap Europe: Heat distribution costs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2019, doi:</w:t>
      </w:r>
      <w:r>
        <w:rPr>
          <w:rFonts w:ascii="Times New Roman" w:hAnsi="Times New Roman"/>
          <w:sz w:val="24"/>
        </w:rPr>
        <w:t xml:space="preserve"> </w:t>
      </w:r>
      <w:hyperlink r:id="rId106">
        <w:r>
          <w:rPr>
            <w:rStyle w:val="Hyperlink"/>
          </w:rPr>
          <w:t xml:space="preserve">10.1016/j.energy.2019.03.189</w:t>
        </w:r>
      </w:hyperlink>
      <w:r>
        <w:rPr>
          <w:rFonts w:ascii="Times New Roman" w:hAnsi="Times New Roman"/>
          <w:sz w:val="24"/>
        </w:rPr>
        <w:t xml:space="preserve">.</w:t>
      </w:r>
    </w:p>
    <w:bookmarkEnd w:id="107"/>
    <w:bookmarkStart w:id="109" w:name="ref-Weidner2023Planetary"/>
    <w:p>
      <w:pPr>
        <w:pStyle w:val="Bibliography"/>
      </w:pPr>
      <w:r>
        <w:rPr>
          <w:rFonts w:ascii="Times New Roman" w:hAnsi="Times New Roman"/>
          <w:sz w:val="24"/>
        </w:rPr>
        <w:t xml:space="preserve">[28]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T. Weidner and G. Guillén-Gosálbez,</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Planetary boundaries assessment of deep decarbonisation options for building heating in the European Union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 Conversion and Management</w:t>
      </w:r>
      <w:r>
        <w:rPr>
          <w:rFonts w:ascii="Times New Roman" w:hAnsi="Times New Roman"/>
          <w:sz w:val="24"/>
        </w:rPr>
        <w:t xml:space="preserve">, 2023, doi:</w:t>
      </w:r>
      <w:r>
        <w:rPr>
          <w:rFonts w:ascii="Times New Roman" w:hAnsi="Times New Roman"/>
          <w:sz w:val="24"/>
        </w:rPr>
        <w:t xml:space="preserve"> </w:t>
      </w:r>
      <w:hyperlink r:id="rId108">
        <w:r>
          <w:rPr>
            <w:rStyle w:val="Hyperlink"/>
          </w:rPr>
          <w:t xml:space="preserve">10.1016/j.enconman.2022.116602</w:t>
        </w:r>
      </w:hyperlink>
      <w:r>
        <w:rPr>
          <w:rFonts w:ascii="Times New Roman" w:hAnsi="Times New Roman"/>
          <w:sz w:val="24"/>
        </w:rPr>
        <w:t xml:space="preserve">.</w:t>
      </w:r>
    </w:p>
    <w:bookmarkEnd w:id="109"/>
    <w:bookmarkStart w:id="111" w:name="ref-Quarton2019Curious"/>
    <w:p>
      <w:pPr>
        <w:pStyle w:val="Bibliography"/>
      </w:pPr>
      <w:r>
        <w:rPr>
          <w:rFonts w:ascii="Times New Roman" w:hAnsi="Times New Roman"/>
          <w:sz w:val="24"/>
        </w:rPr>
        <w:t xml:space="preserve">[29]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C. J. Quarton</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curious case of the conflicting roles of hydrogen in global energy scenarios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Sustainable Energy &amp; Fuels</w:t>
      </w:r>
      <w:r>
        <w:rPr>
          <w:rFonts w:ascii="Times New Roman" w:hAnsi="Times New Roman"/>
          <w:sz w:val="24"/>
        </w:rPr>
        <w:t xml:space="preserve">, 2019, doi:</w:t>
      </w:r>
      <w:r>
        <w:rPr>
          <w:rFonts w:ascii="Times New Roman" w:hAnsi="Times New Roman"/>
          <w:sz w:val="24"/>
        </w:rPr>
        <w:t xml:space="preserve"> </w:t>
      </w:r>
      <w:hyperlink r:id="rId110">
        <w:r>
          <w:rPr>
            <w:rStyle w:val="Hyperlink"/>
          </w:rPr>
          <w:t xml:space="preserve">10.1039/c9se00833k</w:t>
        </w:r>
      </w:hyperlink>
      <w:r>
        <w:rPr>
          <w:rFonts w:ascii="Times New Roman" w:hAnsi="Times New Roman"/>
          <w:sz w:val="24"/>
        </w:rPr>
        <w:t xml:space="preserve">.</w:t>
      </w:r>
    </w:p>
    <w:bookmarkEnd w:id="111"/>
    <w:bookmarkStart w:id="113" w:name="ref-Joskow2008capacity"/>
    <w:p>
      <w:pPr>
        <w:pStyle w:val="Bibliography"/>
      </w:pPr>
      <w:r>
        <w:rPr>
          <w:rFonts w:ascii="Times New Roman" w:hAnsi="Times New Roman"/>
          <w:sz w:val="24"/>
        </w:rPr>
        <w:t xml:space="preserve">[30]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 L. Joskow,</w:t>
      </w:r>
      <w:r>
        <w:rPr>
          <w:rFonts w:ascii="Times New Roman" w:hAnsi="Times New Roman"/>
          <w:sz w:val="24"/>
        </w:rPr>
        <w:t xml:space="preserve"> </w:t>
      </w:r>
      <w:r>
        <w:rPr>
          <w:rFonts w:ascii="Times New Roman" w:hAnsi="Times New Roman"/>
          <w:sz w:val="24"/>
        </w:rPr>
        <w:t xml:space="preserve">“Capacity payments in imperfect electricity markets: Need and design,”</w:t>
      </w:r>
      <w:r>
        <w:rPr>
          <w:rFonts w:ascii="Times New Roman" w:hAnsi="Times New Roman"/>
          <w:sz w:val="24"/>
        </w:rPr>
        <w:t xml:space="preserve"> </w:t>
      </w:r>
      <w:r>
        <w:rPr>
          <w:rFonts w:ascii="Times New Roman" w:hAnsi="Times New Roman"/>
          <w:i/>
          <w:iCs/>
          <w:sz w:val="24"/>
        </w:rPr>
        <w:t xml:space="preserve">Utilities Policy</w:t>
      </w:r>
      <w:r>
        <w:rPr>
          <w:rFonts w:ascii="Times New Roman" w:hAnsi="Times New Roman"/>
          <w:sz w:val="24"/>
        </w:rPr>
        <w:t xml:space="preserve">, vol. 16, no. 3, pp. 159–170, 2008, doi:</w:t>
      </w:r>
      <w:r>
        <w:rPr>
          <w:rFonts w:ascii="Times New Roman" w:hAnsi="Times New Roman"/>
          <w:sz w:val="24"/>
        </w:rPr>
        <w:t xml:space="preserve"> </w:t>
      </w:r>
      <w:hyperlink r:id="rId112">
        <w:r>
          <w:rPr>
            <w:rStyle w:val="Hyperlink"/>
          </w:rPr>
          <w:t xml:space="preserve">10.1016/j.jup.2007.10.003</w:t>
        </w:r>
      </w:hyperlink>
      <w:r>
        <w:rPr>
          <w:rFonts w:ascii="Times New Roman" w:hAnsi="Times New Roman"/>
          <w:sz w:val="24"/>
        </w:rPr>
        <w:t xml:space="preserve">.</w:t>
      </w:r>
    </w:p>
    <w:bookmarkEnd w:id="113"/>
    <w:bookmarkStart w:id="115" w:name="ref-Quarton2019Value"/>
    <w:p>
      <w:pPr>
        <w:pStyle w:val="Bibliography"/>
      </w:pPr>
      <w:r>
        <w:rPr>
          <w:rFonts w:ascii="Times New Roman" w:hAnsi="Times New Roman"/>
          <w:sz w:val="24"/>
        </w:rPr>
        <w:t xml:space="preserve">[31]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C. J. Quarton and S. Samsatli,</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value of hydrogen and carbon capture, storage and utilisation in decarbonising energy: Insights from integrated value chain optimisation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Applied Energy</w:t>
      </w:r>
      <w:r>
        <w:rPr>
          <w:rFonts w:ascii="Times New Roman" w:hAnsi="Times New Roman"/>
          <w:sz w:val="24"/>
        </w:rPr>
        <w:t xml:space="preserve">, 2019, doi:</w:t>
      </w:r>
      <w:r>
        <w:rPr>
          <w:rFonts w:ascii="Times New Roman" w:hAnsi="Times New Roman"/>
          <w:sz w:val="24"/>
        </w:rPr>
        <w:t xml:space="preserve"> </w:t>
      </w:r>
      <w:hyperlink r:id="rId114">
        <w:r>
          <w:rPr>
            <w:rStyle w:val="Hyperlink"/>
          </w:rPr>
          <w:t xml:space="preserve">10.1016/j.apenergy.2019.113936</w:t>
        </w:r>
      </w:hyperlink>
      <w:r>
        <w:rPr>
          <w:rFonts w:ascii="Times New Roman" w:hAnsi="Times New Roman"/>
          <w:sz w:val="24"/>
        </w:rPr>
        <w:t xml:space="preserve">.</w:t>
      </w:r>
    </w:p>
    <w:bookmarkEnd w:id="115"/>
    <w:bookmarkStart w:id="117" w:name="ref-Zeyen2021Mitigating"/>
    <w:p>
      <w:pPr>
        <w:pStyle w:val="Bibliography"/>
      </w:pPr>
      <w:r>
        <w:rPr>
          <w:rFonts w:ascii="Times New Roman" w:hAnsi="Times New Roman"/>
          <w:sz w:val="24"/>
        </w:rPr>
        <w:t xml:space="preserve">[32]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 Zeyen, V. Hagenmeyer, and T. Brown,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Mitigating heat demand peaks in buildings in a highly renewable European energy system</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2021, doi:</w:t>
      </w:r>
      <w:r>
        <w:rPr>
          <w:rFonts w:ascii="Times New Roman" w:hAnsi="Times New Roman"/>
          <w:sz w:val="24"/>
        </w:rPr>
        <w:t xml:space="preserve"> </w:t>
      </w:r>
      <w:hyperlink r:id="rId116">
        <w:r>
          <w:rPr>
            <w:rStyle w:val="Hyperlink"/>
          </w:rPr>
          <w:t xml:space="preserve">10.1016/j.energy.2021.120784</w:t>
        </w:r>
      </w:hyperlink>
      <w:r>
        <w:rPr>
          <w:rFonts w:ascii="Times New Roman" w:hAnsi="Times New Roman"/>
          <w:sz w:val="24"/>
        </w:rPr>
        <w:t xml:space="preserve">.</w:t>
      </w:r>
    </w:p>
    <w:bookmarkEnd w:id="117"/>
    <w:bookmarkStart w:id="119" w:name="ref-Mellot2024Mitigating"/>
    <w:p>
      <w:pPr>
        <w:pStyle w:val="Bibliography"/>
      </w:pPr>
      <w:r>
        <w:rPr>
          <w:rFonts w:ascii="Times New Roman" w:hAnsi="Times New Roman"/>
          <w:sz w:val="24"/>
        </w:rPr>
        <w:t xml:space="preserve">[33]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Mellot, C. Moretti, T. Tröndle, and A. Patt,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Mitigating future winter electricity deficits: A case study from Switzerland</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 Conversion and Management</w:t>
      </w:r>
      <w:r>
        <w:rPr>
          <w:rFonts w:ascii="Times New Roman" w:hAnsi="Times New Roman"/>
          <w:sz w:val="24"/>
        </w:rPr>
        <w:t xml:space="preserve">, 2024, doi:</w:t>
      </w:r>
      <w:r>
        <w:rPr>
          <w:rFonts w:ascii="Times New Roman" w:hAnsi="Times New Roman"/>
          <w:sz w:val="24"/>
        </w:rPr>
        <w:t xml:space="preserve"> </w:t>
      </w:r>
      <w:hyperlink r:id="rId118">
        <w:r>
          <w:rPr>
            <w:rStyle w:val="Hyperlink"/>
          </w:rPr>
          <w:t xml:space="preserve">10.1016/j.enconman.2024.118426</w:t>
        </w:r>
      </w:hyperlink>
      <w:r>
        <w:rPr>
          <w:rFonts w:ascii="Times New Roman" w:hAnsi="Times New Roman"/>
          <w:sz w:val="24"/>
        </w:rPr>
        <w:t xml:space="preserve">.</w:t>
      </w:r>
    </w:p>
    <w:bookmarkEnd w:id="119"/>
    <w:bookmarkStart w:id="121" w:name="ref-Sepulveda2018Firm"/>
    <w:p>
      <w:pPr>
        <w:pStyle w:val="Bibliography"/>
      </w:pPr>
      <w:r>
        <w:rPr>
          <w:rFonts w:ascii="Times New Roman" w:hAnsi="Times New Roman"/>
          <w:sz w:val="24"/>
        </w:rPr>
        <w:t xml:space="preserve">[34]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N. A. Sepulveda, J. D. Jenkins, F. J. de Sisternes, and R. K. Lester,</w:t>
      </w:r>
      <w:r>
        <w:rPr>
          <w:rFonts w:ascii="Times New Roman" w:hAnsi="Times New Roman"/>
          <w:sz w:val="24"/>
        </w:rPr>
        <w:t xml:space="preserve"> </w:t>
      </w:r>
      <w:r>
        <w:rPr>
          <w:rFonts w:ascii="Times New Roman" w:hAnsi="Times New Roman"/>
          <w:sz w:val="24"/>
        </w:rPr>
        <w:t xml:space="preserve">“The role of firm low-carbon electricity resources in deep decarbonization of power generation,”</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vol. 2, no. 11, pp. 2403–2420, 2018, doi:</w:t>
      </w:r>
      <w:r>
        <w:rPr>
          <w:rFonts w:ascii="Times New Roman" w:hAnsi="Times New Roman"/>
          <w:sz w:val="24"/>
        </w:rPr>
        <w:t xml:space="preserve"> </w:t>
      </w:r>
      <w:hyperlink r:id="rId120">
        <w:r>
          <w:rPr>
            <w:rStyle w:val="Hyperlink"/>
          </w:rPr>
          <w:t xml:space="preserve">10.1016/j.joule.2018.08.006</w:t>
        </w:r>
      </w:hyperlink>
      <w:r>
        <w:rPr>
          <w:rFonts w:ascii="Times New Roman" w:hAnsi="Times New Roman"/>
          <w:sz w:val="24"/>
        </w:rPr>
        <w:t xml:space="preserve">.</w:t>
      </w:r>
    </w:p>
    <w:bookmarkEnd w:id="121"/>
    <w:bookmarkStart w:id="123" w:name="ref-Bistline2020ValueOfTechnology"/>
    <w:p>
      <w:pPr>
        <w:pStyle w:val="Bibliography"/>
      </w:pPr>
      <w:r>
        <w:rPr>
          <w:rFonts w:ascii="Times New Roman" w:hAnsi="Times New Roman"/>
          <w:sz w:val="24"/>
        </w:rPr>
        <w:t xml:space="preserve">[35]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 E. T. Bistline and G. J. Blanford,</w:t>
      </w:r>
      <w:r>
        <w:rPr>
          <w:rFonts w:ascii="Times New Roman" w:hAnsi="Times New Roman"/>
          <w:sz w:val="24"/>
        </w:rPr>
        <w:t xml:space="preserve"> </w:t>
      </w:r>
      <w:r>
        <w:rPr>
          <w:rFonts w:ascii="Times New Roman" w:hAnsi="Times New Roman"/>
          <w:sz w:val="24"/>
        </w:rPr>
        <w:t xml:space="preserve">“Value of technology in the</w:t>
      </w:r>
      <w:r>
        <w:rPr>
          <w:rFonts w:ascii="Times New Roman" w:hAnsi="Times New Roman"/>
          <w:sz w:val="24"/>
        </w:rPr>
        <w:t xml:space="preserve"> </w:t>
      </w:r>
      <w:r>
        <w:rPr>
          <w:rFonts w:ascii="Times New Roman" w:hAnsi="Times New Roman"/>
          <w:sz w:val="24"/>
        </w:rPr>
        <w:t xml:space="preserve">U.S.</w:t>
      </w:r>
      <w:r>
        <w:rPr>
          <w:rFonts w:ascii="Times New Roman" w:hAnsi="Times New Roman"/>
          <w:sz w:val="24"/>
        </w:rPr>
        <w:t xml:space="preserve"> </w:t>
      </w:r>
      <w:r>
        <w:rPr>
          <w:rFonts w:ascii="Times New Roman" w:hAnsi="Times New Roman"/>
          <w:sz w:val="24"/>
        </w:rPr>
        <w:t xml:space="preserve">Electric power sector:</w:t>
      </w:r>
      <w:r>
        <w:rPr>
          <w:rFonts w:ascii="Times New Roman" w:hAnsi="Times New Roman"/>
          <w:sz w:val="24"/>
        </w:rPr>
        <w:t xml:space="preserve"> </w:t>
      </w:r>
      <w:r>
        <w:rPr>
          <w:rFonts w:ascii="Times New Roman" w:hAnsi="Times New Roman"/>
          <w:sz w:val="24"/>
        </w:rPr>
        <w:t xml:space="preserve">I</w:t>
      </w:r>
      <w:r>
        <w:rPr>
          <w:rFonts w:ascii="Times New Roman" w:hAnsi="Times New Roman"/>
          <w:sz w:val="24"/>
        </w:rPr>
        <w:t xml:space="preserve">mpacts of full portfolios and technological change on the costs of meeting decarbonization goals,”</w:t>
      </w:r>
      <w:r>
        <w:rPr>
          <w:rFonts w:ascii="Times New Roman" w:hAnsi="Times New Roman"/>
          <w:sz w:val="24"/>
        </w:rPr>
        <w:t xml:space="preserve"> </w:t>
      </w:r>
      <w:r>
        <w:rPr>
          <w:rFonts w:ascii="Times New Roman" w:hAnsi="Times New Roman"/>
          <w:i/>
          <w:iCs/>
          <w:sz w:val="24"/>
        </w:rPr>
        <w:t xml:space="preserve">Energy Economics</w:t>
      </w:r>
      <w:r>
        <w:rPr>
          <w:rFonts w:ascii="Times New Roman" w:hAnsi="Times New Roman"/>
          <w:sz w:val="24"/>
        </w:rPr>
        <w:t xml:space="preserve">, vol. 86, p. 104694, 2020, doi:</w:t>
      </w:r>
      <w:r>
        <w:rPr>
          <w:rFonts w:ascii="Times New Roman" w:hAnsi="Times New Roman"/>
          <w:sz w:val="24"/>
        </w:rPr>
        <w:t xml:space="preserve"> </w:t>
      </w:r>
      <w:hyperlink r:id="rId122">
        <w:r>
          <w:rPr>
            <w:rStyle w:val="Hyperlink"/>
          </w:rPr>
          <w:t xml:space="preserve">10.1016/j.eneco.2020.104694</w:t>
        </w:r>
      </w:hyperlink>
      <w:r>
        <w:rPr>
          <w:rFonts w:ascii="Times New Roman" w:hAnsi="Times New Roman"/>
          <w:sz w:val="24"/>
        </w:rPr>
        <w:t xml:space="preserve">.</w:t>
      </w:r>
    </w:p>
    <w:bookmarkEnd w:id="123"/>
    <w:bookmarkStart w:id="125" w:name="ref-MilojevicDupont2023Eubucco"/>
    <w:p>
      <w:pPr>
        <w:pStyle w:val="Bibliography"/>
      </w:pPr>
      <w:r>
        <w:rPr>
          <w:rFonts w:ascii="Times New Roman" w:hAnsi="Times New Roman"/>
          <w:sz w:val="24"/>
        </w:rPr>
        <w:t xml:space="preserve">[36]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N. Milojevic-Dupont</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EUBUCCO</w:t>
      </w:r>
      <w:r>
        <w:rPr>
          <w:rFonts w:ascii="Times New Roman" w:hAnsi="Times New Roman"/>
          <w:sz w:val="24"/>
        </w:rPr>
        <w:t xml:space="preserve"> </w:t>
      </w:r>
      <w:r>
        <w:rPr>
          <w:rFonts w:ascii="Times New Roman" w:hAnsi="Times New Roman"/>
          <w:sz w:val="24"/>
        </w:rPr>
        <w:t xml:space="preserve">v0.1:</w:t>
      </w:r>
      <w:r>
        <w:rPr>
          <w:rFonts w:ascii="Times New Roman" w:hAnsi="Times New Roman"/>
          <w:sz w:val="24"/>
        </w:rPr>
        <w:t xml:space="preserve"> </w:t>
      </w:r>
      <w:r>
        <w:rPr>
          <w:rFonts w:ascii="Times New Roman" w:hAnsi="Times New Roman"/>
          <w:sz w:val="24"/>
        </w:rPr>
        <w:t xml:space="preserve">E</w:t>
      </w:r>
      <w:r>
        <w:rPr>
          <w:rFonts w:ascii="Times New Roman" w:hAnsi="Times New Roman"/>
          <w:sz w:val="24"/>
        </w:rPr>
        <w:t xml:space="preserve">uropean building stock characteristics in a common and open database for 200+ million individual buildings,”</w:t>
      </w:r>
      <w:r>
        <w:rPr>
          <w:rFonts w:ascii="Times New Roman" w:hAnsi="Times New Roman"/>
          <w:sz w:val="24"/>
        </w:rPr>
        <w:t xml:space="preserve"> </w:t>
      </w:r>
      <w:r>
        <w:rPr>
          <w:rFonts w:ascii="Times New Roman" w:hAnsi="Times New Roman"/>
          <w:i/>
          <w:iCs/>
          <w:sz w:val="24"/>
        </w:rPr>
        <w:t xml:space="preserve">Scientific Data</w:t>
      </w:r>
      <w:r>
        <w:rPr>
          <w:rFonts w:ascii="Times New Roman" w:hAnsi="Times New Roman"/>
          <w:sz w:val="24"/>
        </w:rPr>
        <w:t xml:space="preserve">, vol. 10, no. 1, p. 147, 2023, doi:</w:t>
      </w:r>
      <w:r>
        <w:rPr>
          <w:rFonts w:ascii="Times New Roman" w:hAnsi="Times New Roman"/>
          <w:sz w:val="24"/>
        </w:rPr>
        <w:t xml:space="preserve"> </w:t>
      </w:r>
      <w:hyperlink r:id="rId124">
        <w:r>
          <w:rPr>
            <w:rStyle w:val="Hyperlink"/>
          </w:rPr>
          <w:t xml:space="preserve">10.1038/s41597-023-02040-2</w:t>
        </w:r>
      </w:hyperlink>
      <w:r>
        <w:rPr>
          <w:rFonts w:ascii="Times New Roman" w:hAnsi="Times New Roman"/>
          <w:sz w:val="24"/>
        </w:rPr>
        <w:t xml:space="preserve">.</w:t>
      </w:r>
    </w:p>
    <w:bookmarkEnd w:id="125"/>
    <w:bookmarkStart w:id="127" w:name="ref-Loga2016Tabula"/>
    <w:p>
      <w:pPr>
        <w:pStyle w:val="Bibliography"/>
      </w:pPr>
      <w:r>
        <w:rPr>
          <w:rFonts w:ascii="Times New Roman" w:hAnsi="Times New Roman"/>
          <w:sz w:val="24"/>
        </w:rPr>
        <w:t xml:space="preserve">[37]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T. Loga, B. Stein, and N. Diefenbach,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TABULA</w:t>
      </w:r>
      <w:r>
        <w:rPr>
          <w:rFonts w:ascii="Times New Roman" w:hAnsi="Times New Roman"/>
          <w:sz w:val="24"/>
        </w:rPr>
        <w:t xml:space="preserve"> </w:t>
      </w:r>
      <w:r>
        <w:rPr>
          <w:rFonts w:ascii="Times New Roman" w:hAnsi="Times New Roman"/>
          <w:sz w:val="24"/>
        </w:rPr>
        <w:t xml:space="preserve">building typologies in 20</w:t>
      </w:r>
      <w:r>
        <w:rPr>
          <w:rFonts w:ascii="Times New Roman" w:hAnsi="Times New Roman"/>
          <w:sz w:val="24"/>
        </w:rPr>
        <w:t xml:space="preserve"> </w:t>
      </w:r>
      <w:r>
        <w:rPr>
          <w:rFonts w:ascii="Times New Roman" w:hAnsi="Times New Roman"/>
          <w:sz w:val="24"/>
        </w:rPr>
        <w:t xml:space="preserve">E</w:t>
      </w:r>
      <w:r>
        <w:rPr>
          <w:rFonts w:ascii="Times New Roman" w:hAnsi="Times New Roman"/>
          <w:sz w:val="24"/>
        </w:rPr>
        <w:t xml:space="preserve">uropean countries —</w:t>
      </w:r>
      <w:r>
        <w:rPr>
          <w:rFonts w:ascii="Times New Roman" w:hAnsi="Times New Roman"/>
          <w:sz w:val="24"/>
        </w:rPr>
        <w:t xml:space="preserve"> </w:t>
      </w:r>
      <w:r>
        <w:rPr>
          <w:rFonts w:ascii="Times New Roman" w:hAnsi="Times New Roman"/>
          <w:sz w:val="24"/>
        </w:rPr>
        <w:t xml:space="preserve">M</w:t>
      </w:r>
      <w:r>
        <w:rPr>
          <w:rFonts w:ascii="Times New Roman" w:hAnsi="Times New Roman"/>
          <w:sz w:val="24"/>
        </w:rPr>
        <w:t xml:space="preserve">aking energy-related features of residential building stocks comparable,”</w:t>
      </w:r>
      <w:r>
        <w:rPr>
          <w:rFonts w:ascii="Times New Roman" w:hAnsi="Times New Roman"/>
          <w:sz w:val="24"/>
        </w:rPr>
        <w:t xml:space="preserve"> </w:t>
      </w:r>
      <w:r>
        <w:rPr>
          <w:rFonts w:ascii="Times New Roman" w:hAnsi="Times New Roman"/>
          <w:i/>
          <w:iCs/>
          <w:sz w:val="24"/>
        </w:rPr>
        <w:t xml:space="preserve">Energy and Buildings</w:t>
      </w:r>
      <w:r>
        <w:rPr>
          <w:rFonts w:ascii="Times New Roman" w:hAnsi="Times New Roman"/>
          <w:sz w:val="24"/>
        </w:rPr>
        <w:t xml:space="preserve">, vol. 132, pp. 4–12, 2016, doi:</w:t>
      </w:r>
      <w:r>
        <w:rPr>
          <w:rFonts w:ascii="Times New Roman" w:hAnsi="Times New Roman"/>
          <w:sz w:val="24"/>
        </w:rPr>
        <w:t xml:space="preserve"> </w:t>
      </w:r>
      <w:hyperlink r:id="rId126">
        <w:r>
          <w:rPr>
            <w:rStyle w:val="Hyperlink"/>
          </w:rPr>
          <w:t xml:space="preserve">10.1016/j.enbuild.2016.06.094</w:t>
        </w:r>
      </w:hyperlink>
      <w:r>
        <w:rPr>
          <w:rFonts w:ascii="Times New Roman" w:hAnsi="Times New Roman"/>
          <w:sz w:val="24"/>
        </w:rPr>
        <w:t xml:space="preserve">.</w:t>
      </w:r>
    </w:p>
    <w:bookmarkEnd w:id="127"/>
    <w:bookmarkStart w:id="128" w:name="ref-Gabrielli2020"/>
    <w:p>
      <w:pPr>
        <w:pStyle w:val="Bibliography"/>
      </w:pPr>
      <w:r>
        <w:rPr>
          <w:rFonts w:ascii="Times New Roman" w:hAnsi="Times New Roman"/>
          <w:sz w:val="24"/>
        </w:rPr>
        <w:t xml:space="preserve">[38]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 Gabrielli, F. Charbonnier, A. Guidolin, and M. Mazzotti,</w:t>
      </w:r>
      <w:r>
        <w:rPr>
          <w:rFonts w:ascii="Times New Roman" w:hAnsi="Times New Roman"/>
          <w:sz w:val="24"/>
        </w:rPr>
        <w:t xml:space="preserve"> </w:t>
      </w:r>
      <w:r>
        <w:rPr>
          <w:rFonts w:ascii="Times New Roman" w:hAnsi="Times New Roman"/>
          <w:sz w:val="24"/>
        </w:rPr>
        <w:t xml:space="preserve">“Enabling low-carbon hydrogen supply chains through use of biomass and carbon capture and storage: A</w:t>
      </w:r>
      <w:r>
        <w:rPr>
          <w:rFonts w:ascii="Times New Roman" w:hAnsi="Times New Roman"/>
          <w:sz w:val="24"/>
        </w:rPr>
        <w:t xml:space="preserve"> </w:t>
      </w:r>
      <w:r>
        <w:rPr>
          <w:rFonts w:ascii="Times New Roman" w:hAnsi="Times New Roman"/>
          <w:sz w:val="24"/>
        </w:rPr>
        <w:t xml:space="preserve">Swiss</w:t>
      </w:r>
      <w:r>
        <w:rPr>
          <w:rFonts w:ascii="Times New Roman" w:hAnsi="Times New Roman"/>
          <w:sz w:val="24"/>
        </w:rPr>
        <w:t xml:space="preserve"> </w:t>
      </w:r>
      <w:r>
        <w:rPr>
          <w:rFonts w:ascii="Times New Roman" w:hAnsi="Times New Roman"/>
          <w:sz w:val="24"/>
        </w:rPr>
        <w:t xml:space="preserve">case study,”</w:t>
      </w:r>
      <w:r>
        <w:rPr>
          <w:rFonts w:ascii="Times New Roman" w:hAnsi="Times New Roman"/>
          <w:sz w:val="24"/>
        </w:rPr>
        <w:t xml:space="preserve"> </w:t>
      </w:r>
      <w:r>
        <w:rPr>
          <w:rFonts w:ascii="Times New Roman" w:hAnsi="Times New Roman"/>
          <w:i/>
          <w:iCs/>
          <w:sz w:val="24"/>
        </w:rPr>
        <w:t xml:space="preserve">Applied Energy</w:t>
      </w:r>
      <w:r>
        <w:rPr>
          <w:rFonts w:ascii="Times New Roman" w:hAnsi="Times New Roman"/>
          <w:sz w:val="24"/>
        </w:rPr>
        <w:t xml:space="preserve">, 2020.</w:t>
      </w:r>
    </w:p>
    <w:bookmarkEnd w:id="128"/>
    <w:bookmarkStart w:id="130" w:name="ref-IEA2023switzerland"/>
    <w:p>
      <w:pPr>
        <w:pStyle w:val="Bibliography"/>
      </w:pPr>
      <w:r>
        <w:rPr>
          <w:rFonts w:ascii="Times New Roman" w:hAnsi="Times New Roman"/>
          <w:sz w:val="24"/>
        </w:rPr>
        <w:t xml:space="preserve">[39]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Energy Agency,</w:t>
      </w:r>
      <w:r>
        <w:rPr>
          <w:rFonts w:ascii="Times New Roman" w:hAnsi="Times New Roman"/>
          <w:sz w:val="24"/>
        </w:rPr>
        <w:t xml:space="preserve"> </w:t>
      </w:r>
      <w:r>
        <w:rPr>
          <w:rFonts w:ascii="Times New Roman" w:hAnsi="Times New Roman"/>
          <w:sz w:val="24"/>
        </w:rPr>
        <w:t xml:space="preserve">“Switzerland energy policy review 2023,”</w:t>
      </w:r>
      <w:r>
        <w:rPr>
          <w:rFonts w:ascii="Times New Roman" w:hAnsi="Times New Roman"/>
          <w:sz w:val="24"/>
        </w:rPr>
        <w:t xml:space="preserve"> </w:t>
      </w:r>
      <w:r>
        <w:rPr>
          <w:rFonts w:ascii="Times New Roman" w:hAnsi="Times New Roman"/>
          <w:sz w:val="24"/>
        </w:rPr>
        <w:t xml:space="preserve">IEA, Paris, 2023. Available:</w:t>
      </w:r>
      <w:r>
        <w:rPr>
          <w:rFonts w:ascii="Times New Roman" w:hAnsi="Times New Roman"/>
          <w:sz w:val="24"/>
        </w:rPr>
        <w:t xml:space="preserve"> </w:t>
      </w:r>
      <w:hyperlink r:id="rId129">
        <w:r>
          <w:rPr>
            <w:rStyle w:val="Hyperlink"/>
          </w:rPr>
          <w:t xml:space="preserve">https://www.iea.org/reports/switzerland-2023</w:t>
        </w:r>
      </w:hyperlink>
    </w:p>
    <w:bookmarkEnd w:id="130"/>
    <w:bookmarkStart w:id="132" w:name="ref-Hotmaps2020"/>
    <w:p>
      <w:pPr>
        <w:pStyle w:val="Bibliography"/>
      </w:pPr>
      <w:r>
        <w:rPr>
          <w:rFonts w:ascii="Times New Roman" w:hAnsi="Times New Roman"/>
          <w:sz w:val="24"/>
        </w:rPr>
        <w:t xml:space="preserve">[40]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Hotmaps Project,</w:t>
      </w:r>
      <w:r>
        <w:rPr>
          <w:rFonts w:ascii="Times New Roman" w:hAnsi="Times New Roman"/>
          <w:sz w:val="24"/>
        </w:rPr>
        <w:t xml:space="preserve"> </w:t>
      </w:r>
      <w:r>
        <w:rPr>
          <w:rFonts w:ascii="Times New Roman" w:hAnsi="Times New Roman"/>
          <w:sz w:val="24"/>
        </w:rPr>
        <w:t xml:space="preserve">“Hotmaps regional heat demand dataset,”</w:t>
      </w:r>
      <w:r>
        <w:rPr>
          <w:rFonts w:ascii="Times New Roman" w:hAnsi="Times New Roman"/>
          <w:sz w:val="24"/>
        </w:rPr>
        <w:t xml:space="preserve"> </w:t>
      </w:r>
      <w:r>
        <w:rPr>
          <w:rFonts w:ascii="Times New Roman" w:hAnsi="Times New Roman"/>
          <w:sz w:val="24"/>
        </w:rPr>
        <w:t xml:space="preserve">Hotmaps, 2020. Available:</w:t>
      </w:r>
      <w:r>
        <w:rPr>
          <w:rFonts w:ascii="Times New Roman" w:hAnsi="Times New Roman"/>
          <w:sz w:val="24"/>
        </w:rPr>
        <w:t xml:space="preserve"> </w:t>
      </w:r>
      <w:hyperlink r:id="rId131">
        <w:r>
          <w:rPr>
            <w:rStyle w:val="Hyperlink"/>
          </w:rPr>
          <w:t xml:space="preserve">https://gitlab.com/hotmaps/regional_demand</w:t>
        </w:r>
      </w:hyperlink>
    </w:p>
    <w:bookmarkEnd w:id="132"/>
    <w:bookmarkStart w:id="134" w:name="ref-Eurostat2021census"/>
    <w:p>
      <w:pPr>
        <w:pStyle w:val="Bibliography"/>
      </w:pPr>
      <w:r>
        <w:rPr>
          <w:rFonts w:ascii="Times New Roman" w:hAnsi="Times New Roman"/>
          <w:sz w:val="24"/>
        </w:rPr>
        <w:t xml:space="preserve">[41]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Eurostat,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CENS_21DWBNO_R3</w:t>
      </w:r>
      <w:r>
        <w:rPr>
          <w:rFonts w:ascii="Times New Roman" w:hAnsi="Times New Roman"/>
          <w:sz w:val="24"/>
        </w:rPr>
        <w:t xml:space="preserve">: Dwellings by number of occupants and type of building,</w:t>
      </w:r>
      <w:r>
        <w:rPr>
          <w:rFonts w:ascii="Times New Roman" w:hAnsi="Times New Roman"/>
          <w:sz w:val="24"/>
        </w:rPr>
        <w:t xml:space="preserve"> </w:t>
      </w:r>
      <w:r>
        <w:rPr>
          <w:rFonts w:ascii="Times New Roman" w:hAnsi="Times New Roman"/>
          <w:sz w:val="24"/>
        </w:rPr>
        <w:t xml:space="preserve">NUTS3</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Eurostat, 2021. Available:</w:t>
      </w:r>
      <w:r>
        <w:rPr>
          <w:rFonts w:ascii="Times New Roman" w:hAnsi="Times New Roman"/>
          <w:sz w:val="24"/>
        </w:rPr>
        <w:t xml:space="preserve"> </w:t>
      </w:r>
      <w:hyperlink r:id="rId133">
        <w:r>
          <w:rPr>
            <w:rStyle w:val="Hyperlink"/>
          </w:rPr>
          <w:t xml:space="preserve">https://ec.europa.eu/eurostat/databrowser/view/CENS_21DWBNO_R3</w:t>
        </w:r>
      </w:hyperlink>
    </w:p>
    <w:bookmarkEnd w:id="134"/>
    <w:bookmarkStart w:id="136" w:name="ref-ONS2021TS044"/>
    <w:p>
      <w:pPr>
        <w:pStyle w:val="Bibliography"/>
      </w:pPr>
      <w:r>
        <w:rPr>
          <w:rFonts w:ascii="Times New Roman" w:hAnsi="Times New Roman"/>
          <w:sz w:val="24"/>
        </w:rPr>
        <w:t xml:space="preserve">[42]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Office for National Statistics,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TS044</w:t>
      </w:r>
      <w:r>
        <w:rPr>
          <w:rFonts w:ascii="Times New Roman" w:hAnsi="Times New Roman"/>
          <w:sz w:val="24"/>
        </w:rPr>
        <w:t xml:space="preserve">: Accommodation type,</w:t>
      </w:r>
      <w:r>
        <w:rPr>
          <w:rFonts w:ascii="Times New Roman" w:hAnsi="Times New Roman"/>
          <w:sz w:val="24"/>
        </w:rPr>
        <w:t xml:space="preserve"> </w:t>
      </w:r>
      <w:r>
        <w:rPr>
          <w:rFonts w:ascii="Times New Roman" w:hAnsi="Times New Roman"/>
          <w:sz w:val="24"/>
        </w:rPr>
        <w:t xml:space="preserve">Census 2021</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ONS, 2021. Available:</w:t>
      </w:r>
      <w:r>
        <w:rPr>
          <w:rFonts w:ascii="Times New Roman" w:hAnsi="Times New Roman"/>
          <w:sz w:val="24"/>
        </w:rPr>
        <w:t xml:space="preserve"> </w:t>
      </w:r>
      <w:hyperlink r:id="rId135">
        <w:r>
          <w:rPr>
            <w:rStyle w:val="Hyperlink"/>
          </w:rPr>
          <w:t xml:space="preserve">https://www.ons.gov.uk/datasets/TS044/editions/2021</w:t>
        </w:r>
      </w:hyperlink>
    </w:p>
    <w:bookmarkEnd w:id="136"/>
    <w:bookmarkStart w:id="138" w:name="ref-EurostatGISCO2021"/>
    <w:p>
      <w:pPr>
        <w:pStyle w:val="Bibliography"/>
      </w:pPr>
      <w:r>
        <w:rPr>
          <w:rFonts w:ascii="Times New Roman" w:hAnsi="Times New Roman"/>
          <w:sz w:val="24"/>
        </w:rPr>
        <w:t xml:space="preserve">[43]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Eurostat GISCO,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NUTS</w:t>
      </w:r>
      <w:r>
        <w:rPr>
          <w:rFonts w:ascii="Times New Roman" w:hAnsi="Times New Roman"/>
          <w:sz w:val="24"/>
        </w:rPr>
        <w:t xml:space="preserve"> </w:t>
      </w:r>
      <w:r>
        <w:rPr>
          <w:rFonts w:ascii="Times New Roman" w:hAnsi="Times New Roman"/>
          <w:sz w:val="24"/>
        </w:rPr>
        <w:t xml:space="preserve">reference shapefiles 2021,”</w:t>
      </w:r>
      <w:r>
        <w:rPr>
          <w:rFonts w:ascii="Times New Roman" w:hAnsi="Times New Roman"/>
          <w:sz w:val="24"/>
        </w:rPr>
        <w:t xml:space="preserve"> </w:t>
      </w:r>
      <w:r>
        <w:rPr>
          <w:rFonts w:ascii="Times New Roman" w:hAnsi="Times New Roman"/>
          <w:sz w:val="24"/>
        </w:rPr>
        <w:t xml:space="preserve">Eurostat, 2021. Available:</w:t>
      </w:r>
      <w:r>
        <w:rPr>
          <w:rFonts w:ascii="Times New Roman" w:hAnsi="Times New Roman"/>
          <w:sz w:val="24"/>
        </w:rPr>
        <w:t xml:space="preserve"> </w:t>
      </w:r>
      <w:hyperlink r:id="rId137">
        <w:r>
          <w:rPr>
            <w:rStyle w:val="Hyperlink"/>
          </w:rPr>
          <w:t xml:space="preserve">https://gisco-services.ec.europa.eu/distribution/v2/nuts/</w:t>
        </w:r>
      </w:hyperlink>
    </w:p>
    <w:bookmarkEnd w:id="138"/>
    <w:bookmarkStart w:id="140" w:name="ref-DEA2023technology"/>
    <w:p>
      <w:pPr>
        <w:pStyle w:val="Bibliography"/>
      </w:pPr>
      <w:r>
        <w:rPr>
          <w:rFonts w:ascii="Times New Roman" w:hAnsi="Times New Roman"/>
          <w:sz w:val="24"/>
        </w:rPr>
        <w:t xml:space="preserve">[44]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Danish Energy Agency,</w:t>
      </w:r>
      <w:r>
        <w:rPr>
          <w:rFonts w:ascii="Times New Roman" w:hAnsi="Times New Roman"/>
          <w:sz w:val="24"/>
        </w:rPr>
        <w:t xml:space="preserve"> </w:t>
      </w:r>
      <w:r>
        <w:rPr>
          <w:rFonts w:ascii="Times New Roman" w:hAnsi="Times New Roman"/>
          <w:sz w:val="24"/>
        </w:rPr>
        <w:t xml:space="preserve">“Technology data for energy plants for electricity and district heating generation,”</w:t>
      </w:r>
      <w:r>
        <w:rPr>
          <w:rFonts w:ascii="Times New Roman" w:hAnsi="Times New Roman"/>
          <w:sz w:val="24"/>
        </w:rPr>
        <w:t xml:space="preserve"> </w:t>
      </w:r>
      <w:r>
        <w:rPr>
          <w:rFonts w:ascii="Times New Roman" w:hAnsi="Times New Roman"/>
          <w:sz w:val="24"/>
        </w:rPr>
        <w:t xml:space="preserve">Danish Energy Agency, Copenhagen, 2023. Available:</w:t>
      </w:r>
      <w:r>
        <w:rPr>
          <w:rFonts w:ascii="Times New Roman" w:hAnsi="Times New Roman"/>
          <w:sz w:val="24"/>
        </w:rPr>
        <w:t xml:space="preserve"> </w:t>
      </w:r>
      <w:hyperlink r:id="rId139">
        <w:r>
          <w:rPr>
            <w:rStyle w:val="Hyperlink"/>
          </w:rPr>
          <w:t xml:space="preserve">https://ens.dk/en/our-services/projections-and-models/technology-data</w:t>
        </w:r>
      </w:hyperlink>
    </w:p>
    <w:bookmarkEnd w:id="140"/>
    <w:bookmarkStart w:id="142" w:name="ref-JRC2023technology"/>
    <w:p>
      <w:pPr>
        <w:pStyle w:val="Bibliography"/>
      </w:pPr>
      <w:r>
        <w:rPr>
          <w:rFonts w:ascii="Times New Roman" w:hAnsi="Times New Roman"/>
          <w:sz w:val="24"/>
        </w:rPr>
        <w:t xml:space="preserve">[45]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Joint Research Centre,</w:t>
      </w:r>
      <w:r>
        <w:rPr>
          <w:rFonts w:ascii="Times New Roman" w:hAnsi="Times New Roman"/>
          <w:sz w:val="24"/>
        </w:rPr>
        <w:t xml:space="preserve"> </w:t>
      </w:r>
      <w:r>
        <w:rPr>
          <w:rFonts w:ascii="Times New Roman" w:hAnsi="Times New Roman"/>
          <w:sz w:val="24"/>
        </w:rPr>
        <w:t xml:space="preserve">“Long-term (2050) projections of techno-economic performance of low-carbon technologies,”</w:t>
      </w:r>
      <w:r>
        <w:rPr>
          <w:rFonts w:ascii="Times New Roman" w:hAnsi="Times New Roman"/>
          <w:sz w:val="24"/>
        </w:rPr>
        <w:t xml:space="preserve"> </w:t>
      </w:r>
      <w:r>
        <w:rPr>
          <w:rFonts w:ascii="Times New Roman" w:hAnsi="Times New Roman"/>
          <w:sz w:val="24"/>
        </w:rPr>
        <w:t xml:space="preserve">European Commission Joint Research Centre, 2023. Available:</w:t>
      </w:r>
      <w:r>
        <w:rPr>
          <w:rFonts w:ascii="Times New Roman" w:hAnsi="Times New Roman"/>
          <w:sz w:val="24"/>
        </w:rPr>
        <w:t xml:space="preserve"> </w:t>
      </w:r>
      <w:hyperlink r:id="rId141">
        <w:r>
          <w:rPr>
            <w:rStyle w:val="Hyperlink"/>
          </w:rPr>
          <w:t xml:space="preserve">https://publications.jrc.ec.europa.eu/repository/bitstream/JRC109006/kjna28859enn.pdf</w:t>
        </w:r>
      </w:hyperlink>
    </w:p>
    <w:bookmarkEnd w:id="142"/>
    <w:bookmarkStart w:id="144" w:name="ref-IRENA2022heatpumpcosts"/>
    <w:p>
      <w:pPr>
        <w:pStyle w:val="Bibliography"/>
      </w:pPr>
      <w:r>
        <w:rPr>
          <w:rFonts w:ascii="Times New Roman" w:hAnsi="Times New Roman"/>
          <w:sz w:val="24"/>
        </w:rPr>
        <w:t xml:space="preserve">[46]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Renewable Energy Agency,</w:t>
      </w:r>
      <w:r>
        <w:rPr>
          <w:rFonts w:ascii="Times New Roman" w:hAnsi="Times New Roman"/>
          <w:sz w:val="24"/>
        </w:rPr>
        <w:t xml:space="preserve"> </w:t>
      </w:r>
      <w:r>
        <w:rPr>
          <w:rFonts w:ascii="Times New Roman" w:hAnsi="Times New Roman"/>
          <w:sz w:val="24"/>
        </w:rPr>
        <w:t xml:space="preserve">“Heat pump costs and markets,”</w:t>
      </w:r>
      <w:r>
        <w:rPr>
          <w:rFonts w:ascii="Times New Roman" w:hAnsi="Times New Roman"/>
          <w:sz w:val="24"/>
        </w:rPr>
        <w:t xml:space="preserve"> </w:t>
      </w:r>
      <w:r>
        <w:rPr>
          <w:rFonts w:ascii="Times New Roman" w:hAnsi="Times New Roman"/>
          <w:sz w:val="24"/>
        </w:rPr>
        <w:t xml:space="preserve">IRENA, Abu Dhabi, 2022. Available:</w:t>
      </w:r>
      <w:r>
        <w:rPr>
          <w:rFonts w:ascii="Times New Roman" w:hAnsi="Times New Roman"/>
          <w:sz w:val="24"/>
        </w:rPr>
        <w:t xml:space="preserve"> </w:t>
      </w:r>
      <w:hyperlink r:id="rId143">
        <w:r>
          <w:rPr>
            <w:rStyle w:val="Hyperlink"/>
          </w:rPr>
          <w:t xml:space="preserve">https://www.irena.org/-/media/Files/IRENA/Agency/Publication/2022/Nov/IRENA_Heat_Pumps_Costs_Markets_2022.pdf</w:t>
        </w:r>
      </w:hyperlink>
    </w:p>
    <w:bookmarkEnd w:id="144"/>
    <w:bookmarkStart w:id="146" w:name="ref-EuropeanCommission2024ETS2"/>
    <w:p>
      <w:pPr>
        <w:pStyle w:val="Bibliography"/>
      </w:pPr>
      <w:r>
        <w:rPr>
          <w:rFonts w:ascii="Times New Roman" w:hAnsi="Times New Roman"/>
          <w:sz w:val="24"/>
        </w:rPr>
        <w:t xml:space="preserve">[47]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EU ETS2</w:t>
      </w:r>
      <w:r>
        <w:rPr>
          <w:rFonts w:ascii="Times New Roman" w:hAnsi="Times New Roman"/>
          <w:sz w:val="24"/>
        </w:rPr>
        <w:t xml:space="preserve">: Emissions trading for buildings and road transport,”</w:t>
      </w:r>
      <w:r>
        <w:rPr>
          <w:rFonts w:ascii="Times New Roman" w:hAnsi="Times New Roman"/>
          <w:sz w:val="24"/>
        </w:rPr>
        <w:t xml:space="preserve"> </w:t>
      </w:r>
      <w:r>
        <w:rPr>
          <w:rFonts w:ascii="Times New Roman" w:hAnsi="Times New Roman"/>
          <w:sz w:val="24"/>
        </w:rPr>
        <w:t xml:space="preserve">European Commission DG CLIMA, 2024. Available:</w:t>
      </w:r>
      <w:r>
        <w:rPr>
          <w:rFonts w:ascii="Times New Roman" w:hAnsi="Times New Roman"/>
          <w:sz w:val="24"/>
        </w:rPr>
        <w:t xml:space="preserve"> </w:t>
      </w:r>
      <w:hyperlink r:id="rId145">
        <w:r>
          <w:rPr>
            <w:rStyle w:val="Hyperlink"/>
          </w:rPr>
          <w:t xml:space="preserve">https://climate.ec.europa.eu/eu-action/eu-emissions-trading-system-eu-ets/ets2-buildings-road-transport-and-additional-sectors_en</w:t>
        </w:r>
      </w:hyperlink>
    </w:p>
    <w:bookmarkEnd w:id="146"/>
    <w:bookmarkStart w:id="148" w:name="ref-EHO2024hydrogencosts"/>
    <w:p>
      <w:pPr>
        <w:pStyle w:val="Bibliography"/>
      </w:pPr>
      <w:r>
        <w:rPr>
          <w:rFonts w:ascii="Times New Roman" w:hAnsi="Times New Roman"/>
          <w:sz w:val="24"/>
        </w:rPr>
        <w:t xml:space="preserve">[48]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Hydrogen Observatory,</w:t>
      </w:r>
      <w:r>
        <w:rPr>
          <w:rFonts w:ascii="Times New Roman" w:hAnsi="Times New Roman"/>
          <w:sz w:val="24"/>
        </w:rPr>
        <w:t xml:space="preserve"> </w:t>
      </w:r>
      <w:r>
        <w:rPr>
          <w:rFonts w:ascii="Times New Roman" w:hAnsi="Times New Roman"/>
          <w:sz w:val="24"/>
        </w:rPr>
        <w:t xml:space="preserve">“Cost of hydrogen production,”</w:t>
      </w:r>
      <w:r>
        <w:rPr>
          <w:rFonts w:ascii="Times New Roman" w:hAnsi="Times New Roman"/>
          <w:sz w:val="24"/>
        </w:rPr>
        <w:t xml:space="preserve"> </w:t>
      </w:r>
      <w:r>
        <w:rPr>
          <w:rFonts w:ascii="Times New Roman" w:hAnsi="Times New Roman"/>
          <w:sz w:val="24"/>
        </w:rPr>
        <w:t xml:space="preserve">European Hydrogen Observatory / Clean Hydrogen JU, 2024. Available:</w:t>
      </w:r>
      <w:r>
        <w:rPr>
          <w:rFonts w:ascii="Times New Roman" w:hAnsi="Times New Roman"/>
          <w:sz w:val="24"/>
        </w:rPr>
        <w:t xml:space="preserve"> </w:t>
      </w:r>
      <w:hyperlink r:id="rId147">
        <w:r>
          <w:rPr>
            <w:rStyle w:val="Hyperlink"/>
          </w:rPr>
          <w:t xml:space="preserve">https://observatory.clean-hydrogen.europa.eu/hydrogen-landscape/production-trade-and-cost/cost-hydrogen-production</w:t>
        </w:r>
      </w:hyperlink>
    </w:p>
    <w:bookmarkEnd w:id="148"/>
    <w:bookmarkStart w:id="150" w:name="ref-Eurostat2025electricityprices"/>
    <w:p>
      <w:pPr>
        <w:pStyle w:val="Bibliography"/>
      </w:pPr>
      <w:r>
        <w:rPr>
          <w:rFonts w:ascii="Times New Roman" w:hAnsi="Times New Roman"/>
          <w:sz w:val="24"/>
        </w:rPr>
        <w:t xml:space="preserve">[49]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Eurostat,</w:t>
      </w:r>
      <w:r>
        <w:rPr>
          <w:rFonts w:ascii="Times New Roman" w:hAnsi="Times New Roman"/>
          <w:sz w:val="24"/>
        </w:rPr>
        <w:t xml:space="preserve"> </w:t>
      </w:r>
      <w:r>
        <w:rPr>
          <w:rFonts w:ascii="Times New Roman" w:hAnsi="Times New Roman"/>
          <w:sz w:val="24"/>
        </w:rPr>
        <w:t xml:space="preserve">“Electricity price statistics, first half 2025,”</w:t>
      </w:r>
      <w:r>
        <w:rPr>
          <w:rFonts w:ascii="Times New Roman" w:hAnsi="Times New Roman"/>
          <w:sz w:val="24"/>
        </w:rPr>
        <w:t xml:space="preserve"> </w:t>
      </w:r>
      <w:r>
        <w:rPr>
          <w:rFonts w:ascii="Times New Roman" w:hAnsi="Times New Roman"/>
          <w:sz w:val="24"/>
        </w:rPr>
        <w:t xml:space="preserve">Eurostat, 2025. Available:</w:t>
      </w:r>
      <w:r>
        <w:rPr>
          <w:rFonts w:ascii="Times New Roman" w:hAnsi="Times New Roman"/>
          <w:sz w:val="24"/>
        </w:rPr>
        <w:t xml:space="preserve"> </w:t>
      </w:r>
      <w:hyperlink r:id="rId149">
        <w:r>
          <w:rPr>
            <w:rStyle w:val="Hyperlink"/>
          </w:rPr>
          <w:t xml:space="preserve">https://ec.europa.eu/eurostat/statistics-explained/index.php?title=Electricity_price_statistics</w:t>
        </w:r>
      </w:hyperlink>
    </w:p>
    <w:bookmarkEnd w:id="150"/>
    <w:bookmarkStart w:id="152" w:name="ref-Eurostat2025gasprices"/>
    <w:p>
      <w:pPr>
        <w:pStyle w:val="Bibliography"/>
      </w:pPr>
      <w:r>
        <w:rPr>
          <w:rFonts w:ascii="Times New Roman" w:hAnsi="Times New Roman"/>
          <w:sz w:val="24"/>
        </w:rPr>
        <w:t xml:space="preserve">[50]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Eurostat,</w:t>
      </w:r>
      <w:r>
        <w:rPr>
          <w:rFonts w:ascii="Times New Roman" w:hAnsi="Times New Roman"/>
          <w:sz w:val="24"/>
        </w:rPr>
        <w:t xml:space="preserve"> </w:t>
      </w:r>
      <w:r>
        <w:rPr>
          <w:rFonts w:ascii="Times New Roman" w:hAnsi="Times New Roman"/>
          <w:sz w:val="24"/>
        </w:rPr>
        <w:t xml:space="preserve">“Natural gas price statistics, first half 2025,”</w:t>
      </w:r>
      <w:r>
        <w:rPr>
          <w:rFonts w:ascii="Times New Roman" w:hAnsi="Times New Roman"/>
          <w:sz w:val="24"/>
        </w:rPr>
        <w:t xml:space="preserve"> </w:t>
      </w:r>
      <w:r>
        <w:rPr>
          <w:rFonts w:ascii="Times New Roman" w:hAnsi="Times New Roman"/>
          <w:sz w:val="24"/>
        </w:rPr>
        <w:t xml:space="preserve">Eurostat, 2025. Available:</w:t>
      </w:r>
      <w:r>
        <w:rPr>
          <w:rFonts w:ascii="Times New Roman" w:hAnsi="Times New Roman"/>
          <w:sz w:val="24"/>
        </w:rPr>
        <w:t xml:space="preserve"> </w:t>
      </w:r>
      <w:hyperlink r:id="rId151">
        <w:r>
          <w:rPr>
            <w:rStyle w:val="Hyperlink"/>
          </w:rPr>
          <w:t xml:space="preserve">https://ec.europa.eu/eurostat/statistics-explained/index.php/Natural_gas_price_statistics</w:t>
        </w:r>
      </w:hyperlink>
    </w:p>
    <w:bookmarkEnd w:id="152"/>
    <w:bookmarkStart w:id="154" w:name="ref-Calvin2023Ipcc"/>
    <w:p>
      <w:pPr>
        <w:pStyle w:val="Bibliography"/>
      </w:pPr>
      <w:r>
        <w:rPr>
          <w:rFonts w:ascii="Times New Roman" w:hAnsi="Times New Roman"/>
          <w:sz w:val="24"/>
        </w:rPr>
        <w:t xml:space="preserve">[51]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K. Calvin</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Climate Change 2023: Synthesis Report. Contribution of Working Groups I, II and III to the Sixth Assessment Report of the Intergovernmental Panel on Climate Change [Core Writing Team, H. Lee and J. Romero (eds.)]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Intergovernmental Panel on Climate Change (IPCC), Geneva, Switzerland</w:t>
      </w:r>
      <w:r>
        <w:rPr>
          <w:rFonts w:ascii="Times New Roman" w:hAnsi="Times New Roman"/>
          <w:sz w:val="24"/>
        </w:rPr>
        <w:t xml:space="preserve">, 2023, doi:</w:t>
      </w:r>
      <w:r>
        <w:rPr>
          <w:rFonts w:ascii="Times New Roman" w:hAnsi="Times New Roman"/>
          <w:sz w:val="24"/>
        </w:rPr>
        <w:t xml:space="preserve"> </w:t>
      </w:r>
      <w:hyperlink r:id="rId153">
        <w:r>
          <w:rPr>
            <w:rStyle w:val="Hyperlink"/>
          </w:rPr>
          <w:t xml:space="preserve">10.59327/ipcc/ar6-9789291691647</w:t>
        </w:r>
      </w:hyperlink>
      <w:r>
        <w:rPr>
          <w:rFonts w:ascii="Times New Roman" w:hAnsi="Times New Roman"/>
          <w:sz w:val="24"/>
        </w:rPr>
        <w:t xml:space="preserve">.</w:t>
      </w:r>
    </w:p>
    <w:bookmarkEnd w:id="154"/>
    <w:bookmarkStart w:id="156" w:name="ref-EMBER2024electricity"/>
    <w:p>
      <w:pPr>
        <w:pStyle w:val="Bibliography"/>
      </w:pPr>
      <w:r>
        <w:rPr>
          <w:rFonts w:ascii="Times New Roman" w:hAnsi="Times New Roman"/>
          <w:sz w:val="24"/>
        </w:rPr>
        <w:t xml:space="preserve">[52]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Jones</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“European electricity review 2024,”</w:t>
      </w:r>
      <w:r>
        <w:rPr>
          <w:rFonts w:ascii="Times New Roman" w:hAnsi="Times New Roman"/>
          <w:sz w:val="24"/>
        </w:rPr>
        <w:t xml:space="preserve"> </w:t>
      </w:r>
      <w:r>
        <w:rPr>
          <w:rFonts w:ascii="Times New Roman" w:hAnsi="Times New Roman"/>
          <w:sz w:val="24"/>
        </w:rPr>
        <w:t xml:space="preserve">Ember, London, Feb. 2024. Available:</w:t>
      </w:r>
      <w:r>
        <w:rPr>
          <w:rFonts w:ascii="Times New Roman" w:hAnsi="Times New Roman"/>
          <w:sz w:val="24"/>
        </w:rPr>
        <w:t xml:space="preserve"> </w:t>
      </w:r>
      <w:hyperlink r:id="rId155">
        <w:r>
          <w:rPr>
            <w:rStyle w:val="Hyperlink"/>
          </w:rPr>
          <w:t xml:space="preserve">https://ember-energy.org/latest-insights/european-electricity-review-2024/</w:t>
        </w:r>
      </w:hyperlink>
    </w:p>
    <w:bookmarkEnd w:id="156"/>
    <w:bookmarkStart w:id="158" w:name="ref-EEA2024gridintensity"/>
    <w:p>
      <w:pPr>
        <w:pStyle w:val="Bibliography"/>
      </w:pPr>
      <w:r>
        <w:rPr>
          <w:rFonts w:ascii="Times New Roman" w:hAnsi="Times New Roman"/>
          <w:sz w:val="24"/>
        </w:rPr>
        <w:t xml:space="preserve">[53]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Environment Agency,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GHG</w:t>
      </w:r>
      <w:r>
        <w:rPr>
          <w:rFonts w:ascii="Times New Roman" w:hAnsi="Times New Roman"/>
          <w:sz w:val="24"/>
        </w:rPr>
        <w:t xml:space="preserve"> </w:t>
      </w:r>
      <w:r>
        <w:rPr>
          <w:rFonts w:ascii="Times New Roman" w:hAnsi="Times New Roman"/>
          <w:sz w:val="24"/>
        </w:rPr>
        <w:t xml:space="preserve">emission intensity of electricity generation in europe, indicator</w:t>
      </w:r>
      <w:r>
        <w:rPr>
          <w:rFonts w:ascii="Times New Roman" w:hAnsi="Times New Roman"/>
          <w:sz w:val="24"/>
        </w:rPr>
        <w:t xml:space="preserve"> </w:t>
      </w:r>
      <w:r>
        <w:rPr>
          <w:rFonts w:ascii="Times New Roman" w:hAnsi="Times New Roman"/>
          <w:sz w:val="24"/>
        </w:rPr>
        <w:t xml:space="preserve">ENER</w:t>
      </w:r>
      <w:r>
        <w:rPr>
          <w:rFonts w:ascii="Times New Roman" w:hAnsi="Times New Roman"/>
          <w:sz w:val="24"/>
        </w:rPr>
        <w:t xml:space="preserve"> </w:t>
      </w:r>
      <w:r>
        <w:rPr>
          <w:rFonts w:ascii="Times New Roman" w:hAnsi="Times New Roman"/>
          <w:sz w:val="24"/>
        </w:rPr>
        <w:t xml:space="preserve">038,”</w:t>
      </w:r>
      <w:r>
        <w:rPr>
          <w:rFonts w:ascii="Times New Roman" w:hAnsi="Times New Roman"/>
          <w:sz w:val="24"/>
        </w:rPr>
        <w:t xml:space="preserve"> </w:t>
      </w:r>
      <w:r>
        <w:rPr>
          <w:rFonts w:ascii="Times New Roman" w:hAnsi="Times New Roman"/>
          <w:sz w:val="24"/>
        </w:rPr>
        <w:t xml:space="preserve">EEA, 2024. Available:</w:t>
      </w:r>
      <w:r>
        <w:rPr>
          <w:rFonts w:ascii="Times New Roman" w:hAnsi="Times New Roman"/>
          <w:sz w:val="24"/>
        </w:rPr>
        <w:t xml:space="preserve"> </w:t>
      </w:r>
      <w:hyperlink r:id="rId157">
        <w:r>
          <w:rPr>
            <w:rStyle w:val="Hyperlink"/>
          </w:rPr>
          <w:t xml:space="preserve">https://www.eea.europa.eu/data-and-maps/indicators/overview-of-the-electricity-production-3/assessment</w:t>
        </w:r>
      </w:hyperlink>
    </w:p>
    <w:bookmarkEnd w:id="158"/>
    <w:bookmarkStart w:id="160" w:name="ref-Lord2014GeologicStorage"/>
    <w:p>
      <w:pPr>
        <w:pStyle w:val="Bibliography"/>
      </w:pPr>
      <w:r>
        <w:rPr>
          <w:rFonts w:ascii="Times New Roman" w:hAnsi="Times New Roman"/>
          <w:sz w:val="24"/>
        </w:rPr>
        <w:t xml:space="preserve">[54]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S. Lord, P. H. Kobos, and D. J. Borns,</w:t>
      </w:r>
      <w:r>
        <w:rPr>
          <w:rFonts w:ascii="Times New Roman" w:hAnsi="Times New Roman"/>
          <w:sz w:val="24"/>
        </w:rPr>
        <w:t xml:space="preserve"> </w:t>
      </w:r>
      <w:r>
        <w:rPr>
          <w:rFonts w:ascii="Times New Roman" w:hAnsi="Times New Roman"/>
          <w:sz w:val="24"/>
        </w:rPr>
        <w:t xml:space="preserve">“Geologic storage of hydrogen: Scaling up to meet city transportation demands,”</w:t>
      </w:r>
      <w:r>
        <w:rPr>
          <w:rFonts w:ascii="Times New Roman" w:hAnsi="Times New Roman"/>
          <w:sz w:val="24"/>
        </w:rPr>
        <w:t xml:space="preserve"> </w:t>
      </w:r>
      <w:r>
        <w:rPr>
          <w:rFonts w:ascii="Times New Roman" w:hAnsi="Times New Roman"/>
          <w:i/>
          <w:iCs/>
          <w:sz w:val="24"/>
        </w:rPr>
        <w:t xml:space="preserve">International Journal of Hydrogen Energy</w:t>
      </w:r>
      <w:r>
        <w:rPr>
          <w:rFonts w:ascii="Times New Roman" w:hAnsi="Times New Roman"/>
          <w:sz w:val="24"/>
        </w:rPr>
        <w:t xml:space="preserve">, vol. 39, no. 28, pp. 15570–15582, 2014, doi:</w:t>
      </w:r>
      <w:r>
        <w:rPr>
          <w:rFonts w:ascii="Times New Roman" w:hAnsi="Times New Roman"/>
          <w:sz w:val="24"/>
        </w:rPr>
        <w:t xml:space="preserve"> </w:t>
      </w:r>
      <w:hyperlink r:id="rId159">
        <w:r>
          <w:rPr>
            <w:rStyle w:val="Hyperlink"/>
          </w:rPr>
          <w:t xml:space="preserve">10.1016/j.ijhydene.2014.07.121</w:t>
        </w:r>
      </w:hyperlink>
      <w:r>
        <w:rPr>
          <w:rFonts w:ascii="Times New Roman" w:hAnsi="Times New Roman"/>
          <w:sz w:val="24"/>
        </w:rPr>
        <w:t xml:space="preserve">.</w:t>
      </w:r>
    </w:p>
    <w:bookmarkEnd w:id="160"/>
    <w:bookmarkStart w:id="162" w:name="ref-Papadias2021BulkStorage"/>
    <w:p>
      <w:pPr>
        <w:pStyle w:val="Bibliography"/>
      </w:pPr>
      <w:r>
        <w:rPr>
          <w:rFonts w:ascii="Times New Roman" w:hAnsi="Times New Roman"/>
          <w:sz w:val="24"/>
        </w:rPr>
        <w:t xml:space="preserve">[55]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D. Papadias and R. K. Ahluwalia,</w:t>
      </w:r>
      <w:r>
        <w:rPr>
          <w:rFonts w:ascii="Times New Roman" w:hAnsi="Times New Roman"/>
          <w:sz w:val="24"/>
        </w:rPr>
        <w:t xml:space="preserve"> </w:t>
      </w:r>
      <w:r>
        <w:rPr>
          <w:rFonts w:ascii="Times New Roman" w:hAnsi="Times New Roman"/>
          <w:sz w:val="24"/>
        </w:rPr>
        <w:t xml:space="preserve">“Bulk storage of hydrogen,”</w:t>
      </w:r>
      <w:r>
        <w:rPr>
          <w:rFonts w:ascii="Times New Roman" w:hAnsi="Times New Roman"/>
          <w:sz w:val="24"/>
        </w:rPr>
        <w:t xml:space="preserve"> </w:t>
      </w:r>
      <w:r>
        <w:rPr>
          <w:rFonts w:ascii="Times New Roman" w:hAnsi="Times New Roman"/>
          <w:i/>
          <w:iCs/>
          <w:sz w:val="24"/>
        </w:rPr>
        <w:t xml:space="preserve">International Journal of Hydrogen Energy</w:t>
      </w:r>
      <w:r>
        <w:rPr>
          <w:rFonts w:ascii="Times New Roman" w:hAnsi="Times New Roman"/>
          <w:sz w:val="24"/>
        </w:rPr>
        <w:t xml:space="preserve">, vol. 46, no. 70, pp. 34527–34541, 2021, doi:</w:t>
      </w:r>
      <w:r>
        <w:rPr>
          <w:rFonts w:ascii="Times New Roman" w:hAnsi="Times New Roman"/>
          <w:sz w:val="24"/>
        </w:rPr>
        <w:t xml:space="preserve"> </w:t>
      </w:r>
      <w:hyperlink r:id="rId161">
        <w:r>
          <w:rPr>
            <w:rStyle w:val="Hyperlink"/>
          </w:rPr>
          <w:t xml:space="preserve">10.1016/j.ijhydene.2021.08.028</w:t>
        </w:r>
      </w:hyperlink>
      <w:r>
        <w:rPr>
          <w:rFonts w:ascii="Times New Roman" w:hAnsi="Times New Roman"/>
          <w:sz w:val="24"/>
        </w:rPr>
        <w:t xml:space="preserve">.</w:t>
      </w:r>
    </w:p>
    <w:bookmarkEnd w:id="162"/>
    <w:bookmarkStart w:id="164" w:name="ref-Caglayan2020caverns"/>
    <w:p>
      <w:pPr>
        <w:pStyle w:val="Bibliography"/>
      </w:pPr>
      <w:r>
        <w:rPr>
          <w:rFonts w:ascii="Times New Roman" w:hAnsi="Times New Roman"/>
          <w:sz w:val="24"/>
        </w:rPr>
        <w:t xml:space="preserve">[56]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G. Caglayan</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“Technical potential of salt caverns for hydrogen storage in</w:t>
      </w:r>
      <w:r>
        <w:rPr>
          <w:rFonts w:ascii="Times New Roman" w:hAnsi="Times New Roman"/>
          <w:sz w:val="24"/>
        </w:rPr>
        <w:t xml:space="preserve"> </w:t>
      </w:r>
      <w:r>
        <w:rPr>
          <w:rFonts w:ascii="Times New Roman" w:hAnsi="Times New Roman"/>
          <w:sz w:val="24"/>
        </w:rPr>
        <w:t xml:space="preserve">Europe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International Journal of Hydrogen Energy</w:t>
      </w:r>
      <w:r>
        <w:rPr>
          <w:rFonts w:ascii="Times New Roman" w:hAnsi="Times New Roman"/>
          <w:sz w:val="24"/>
        </w:rPr>
        <w:t xml:space="preserve">, vol. 45, no. 11, pp. 6793–6805, 2020, doi:</w:t>
      </w:r>
      <w:r>
        <w:rPr>
          <w:rFonts w:ascii="Times New Roman" w:hAnsi="Times New Roman"/>
          <w:sz w:val="24"/>
        </w:rPr>
        <w:t xml:space="preserve"> </w:t>
      </w:r>
      <w:hyperlink r:id="rId163">
        <w:r>
          <w:rPr>
            <w:rStyle w:val="Hyperlink"/>
          </w:rPr>
          <w:t xml:space="preserve">10.1016/j.ijhydene.2019.12.161</w:t>
        </w:r>
      </w:hyperlink>
      <w:r>
        <w:rPr>
          <w:rFonts w:ascii="Times New Roman" w:hAnsi="Times New Roman"/>
          <w:sz w:val="24"/>
        </w:rPr>
        <w:t xml:space="preserve">.</w:t>
      </w:r>
    </w:p>
    <w:bookmarkEnd w:id="164"/>
    <w:bookmarkStart w:id="166" w:name="ref-EuropeanCommission2018LTS"/>
    <w:p>
      <w:pPr>
        <w:pStyle w:val="Bibliography"/>
      </w:pPr>
      <w:r>
        <w:rPr>
          <w:rFonts w:ascii="Times New Roman" w:hAnsi="Times New Roman"/>
          <w:sz w:val="24"/>
        </w:rPr>
        <w:t xml:space="preserve">[57]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Clean Planet for All: A European Strategic Long-Term Vision for a Prosperous, Modern, Competitive and Climate Neutral Economy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European Commission, Brussels, Communication from the Commission COM(2018) 773 final, Nov. 2018. Available:</w:t>
      </w:r>
      <w:r>
        <w:rPr>
          <w:rFonts w:ascii="Times New Roman" w:hAnsi="Times New Roman"/>
          <w:sz w:val="24"/>
        </w:rPr>
        <w:t xml:space="preserve"> </w:t>
      </w:r>
      <w:hyperlink r:id="rId165">
        <w:r>
          <w:rPr>
            <w:rStyle w:val="Hyperlink"/>
          </w:rPr>
          <w:t xml:space="preserve">https://eur-lex.europa.eu/legal-content/EN/TXT/?uri=CELEX:52018DC0773</w:t>
        </w:r>
      </w:hyperlink>
    </w:p>
    <w:bookmarkEnd w:id="166"/>
    <w:bookmarkStart w:id="168" w:name="ref-IEA2023NZE"/>
    <w:p>
      <w:pPr>
        <w:pStyle w:val="Bibliography"/>
      </w:pPr>
      <w:r>
        <w:rPr>
          <w:rFonts w:ascii="Times New Roman" w:hAnsi="Times New Roman"/>
          <w:sz w:val="24"/>
        </w:rPr>
        <w:t xml:space="preserve">[58]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Energy Agency,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Net Zero Roadmap: A Global Pathway to Keep the 1.5 </w:t>
      </w:r>
      <w:r>
        <w:rPr>
          <w:rFonts w:ascii="Times New Roman" w:hAnsi="Times New Roman"/>
          <w:sz w:val="24"/>
        </w:rPr>
        <w:t xml:space="preserve">°</w:t>
      </w:r>
      <w:r>
        <w:rPr>
          <w:rFonts w:ascii="Times New Roman" w:hAnsi="Times New Roman"/>
          <w:sz w:val="24"/>
        </w:rPr>
        <w:t xml:space="preserve">C Goal in Reach, 2023 Update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International Energy Agency, Paris, Sep. 2023. Available:</w:t>
      </w:r>
      <w:r>
        <w:rPr>
          <w:rFonts w:ascii="Times New Roman" w:hAnsi="Times New Roman"/>
          <w:sz w:val="24"/>
        </w:rPr>
        <w:t xml:space="preserve"> </w:t>
      </w:r>
      <w:hyperlink r:id="rId167">
        <w:r>
          <w:rPr>
            <w:rStyle w:val="Hyperlink"/>
          </w:rPr>
          <w:t xml:space="preserve">https://www.iea.org/reports/net-zero-roadmap-a-global-pathway-to-keep-the-15-c-goal-in-reach</w:t>
        </w:r>
      </w:hyperlink>
    </w:p>
    <w:bookmarkEnd w:id="168"/>
    <w:bookmarkStart w:id="170" w:name="ref-EHPA2023scop"/>
    <w:p>
      <w:pPr>
        <w:pStyle w:val="Bibliography"/>
      </w:pPr>
      <w:r>
        <w:rPr>
          <w:rFonts w:ascii="Times New Roman" w:hAnsi="Times New Roman"/>
          <w:sz w:val="24"/>
        </w:rPr>
        <w:t xml:space="preserve">[59]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Heat Pump Association,</w:t>
      </w:r>
      <w:r>
        <w:rPr>
          <w:rFonts w:ascii="Times New Roman" w:hAnsi="Times New Roman"/>
          <w:sz w:val="24"/>
        </w:rPr>
        <w:t xml:space="preserve"> </w:t>
      </w:r>
      <w:r>
        <w:rPr>
          <w:rFonts w:ascii="Times New Roman" w:hAnsi="Times New Roman"/>
          <w:sz w:val="24"/>
        </w:rPr>
        <w:t xml:space="preserve">“Heat pumps: Key figures and market data,”</w:t>
      </w:r>
      <w:r>
        <w:rPr>
          <w:rFonts w:ascii="Times New Roman" w:hAnsi="Times New Roman"/>
          <w:sz w:val="24"/>
        </w:rPr>
        <w:t xml:space="preserve"> </w:t>
      </w:r>
      <w:r>
        <w:rPr>
          <w:rFonts w:ascii="Times New Roman" w:hAnsi="Times New Roman"/>
          <w:sz w:val="24"/>
        </w:rPr>
        <w:t xml:space="preserve">EHPA, 2023. Available:</w:t>
      </w:r>
      <w:r>
        <w:rPr>
          <w:rFonts w:ascii="Times New Roman" w:hAnsi="Times New Roman"/>
          <w:sz w:val="24"/>
        </w:rPr>
        <w:t xml:space="preserve"> </w:t>
      </w:r>
      <w:hyperlink r:id="rId169">
        <w:r>
          <w:rPr>
            <w:rStyle w:val="Hyperlink"/>
          </w:rPr>
          <w:t xml:space="preserve">https://www.ehpa.org/market-data/</w:t>
        </w:r>
      </w:hyperlink>
    </w:p>
    <w:bookmarkEnd w:id="170"/>
    <w:bookmarkStart w:id="172" w:name="ref-Talukdar2024UHSEurope"/>
    <w:p>
      <w:pPr>
        <w:pStyle w:val="Bibliography"/>
      </w:pPr>
      <w:r>
        <w:rPr>
          <w:rFonts w:ascii="Times New Roman" w:hAnsi="Times New Roman"/>
          <w:sz w:val="24"/>
        </w:rPr>
        <w:t xml:space="preserve">[60]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M. Talukdar, P. Blum, N. Heinemann, and J. Miocic,</w:t>
      </w:r>
      <w:r>
        <w:rPr>
          <w:rFonts w:ascii="Times New Roman" w:hAnsi="Times New Roman"/>
          <w:sz w:val="24"/>
        </w:rPr>
        <w:t xml:space="preserve"> </w:t>
      </w:r>
      <w:r>
        <w:rPr>
          <w:rFonts w:ascii="Times New Roman" w:hAnsi="Times New Roman"/>
          <w:sz w:val="24"/>
        </w:rPr>
        <w:t xml:space="preserve">“Techno-economic analysis of underground hydrogen storage in</w:t>
      </w:r>
      <w:r>
        <w:rPr>
          <w:rFonts w:ascii="Times New Roman" w:hAnsi="Times New Roman"/>
          <w:sz w:val="24"/>
        </w:rPr>
        <w:t xml:space="preserve"> </w:t>
      </w:r>
      <w:r>
        <w:rPr>
          <w:rFonts w:ascii="Times New Roman" w:hAnsi="Times New Roman"/>
          <w:sz w:val="24"/>
        </w:rPr>
        <w:t xml:space="preserve">Europe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iScience</w:t>
      </w:r>
      <w:r>
        <w:rPr>
          <w:rFonts w:ascii="Times New Roman" w:hAnsi="Times New Roman"/>
          <w:sz w:val="24"/>
        </w:rPr>
        <w:t xml:space="preserve">, vol. 27, no. 1, p. 108771, 2024, doi:</w:t>
      </w:r>
      <w:r>
        <w:rPr>
          <w:rFonts w:ascii="Times New Roman" w:hAnsi="Times New Roman"/>
          <w:sz w:val="24"/>
        </w:rPr>
        <w:t xml:space="preserve"> </w:t>
      </w:r>
      <w:hyperlink r:id="rId171">
        <w:r>
          <w:rPr>
            <w:rStyle w:val="Hyperlink"/>
          </w:rPr>
          <w:t xml:space="preserve">10.1016/j.isci.2023.108771</w:t>
        </w:r>
      </w:hyperlink>
      <w:r>
        <w:rPr>
          <w:rFonts w:ascii="Times New Roman" w:hAnsi="Times New Roman"/>
          <w:sz w:val="24"/>
        </w:rPr>
        <w:t xml:space="preserve">.</w:t>
      </w:r>
    </w:p>
    <w:bookmarkEnd w:id="172"/>
    <w:bookmarkStart w:id="173" w:name="ref-IEAGHG2022blue"/>
    <w:p>
      <w:pPr>
        <w:pStyle w:val="Bibliography"/>
      </w:pPr>
      <w:r>
        <w:rPr>
          <w:rFonts w:ascii="Times New Roman" w:hAnsi="Times New Roman"/>
          <w:sz w:val="24"/>
        </w:rPr>
        <w:t xml:space="preserve">[61]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IEAGHG,</w:t>
      </w:r>
      <w:r>
        <w:rPr>
          <w:rFonts w:ascii="Times New Roman" w:hAnsi="Times New Roman"/>
          <w:sz w:val="24"/>
        </w:rPr>
        <w:t xml:space="preserve"> </w:t>
      </w:r>
      <w:r>
        <w:rPr>
          <w:rFonts w:ascii="Times New Roman" w:hAnsi="Times New Roman"/>
          <w:sz w:val="24"/>
        </w:rPr>
        <w:t xml:space="preserve">“Low-carbon hydrogen from natural gas: Global roadmap,”</w:t>
      </w:r>
      <w:r>
        <w:rPr>
          <w:rFonts w:ascii="Times New Roman" w:hAnsi="Times New Roman"/>
          <w:sz w:val="24"/>
        </w:rPr>
        <w:t xml:space="preserve"> </w:t>
      </w:r>
      <w:r>
        <w:rPr>
          <w:rFonts w:ascii="Times New Roman" w:hAnsi="Times New Roman"/>
          <w:sz w:val="24"/>
        </w:rPr>
        <w:t xml:space="preserve">IEA Greenhouse Gas R&amp;D Programme, 2022-07, 2022.</w:t>
      </w:r>
    </w:p>
    <w:bookmarkEnd w:id="173"/>
    <w:bookmarkStart w:id="175" w:name="ref-Dickel2024ET29"/>
    <w:p>
      <w:pPr>
        <w:pStyle w:val="Bibliography"/>
      </w:pPr>
      <w:r>
        <w:rPr>
          <w:rFonts w:ascii="Times New Roman" w:hAnsi="Times New Roman"/>
          <w:sz w:val="24"/>
        </w:rPr>
        <w:t xml:space="preserve">[62]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R. Dickel,</w:t>
      </w:r>
      <w:r>
        <w:rPr>
          <w:rFonts w:ascii="Times New Roman" w:hAnsi="Times New Roman"/>
          <w:sz w:val="24"/>
        </w:rPr>
        <w:t xml:space="preserve"> </w:t>
      </w:r>
      <w:r>
        <w:rPr>
          <w:rFonts w:ascii="Times New Roman" w:hAnsi="Times New Roman"/>
          <w:sz w:val="24"/>
        </w:rPr>
        <w:t xml:space="preserve">“Decarbonising</w:t>
      </w:r>
      <w:r>
        <w:rPr>
          <w:rFonts w:ascii="Times New Roman" w:hAnsi="Times New Roman"/>
          <w:sz w:val="24"/>
        </w:rPr>
        <w:t xml:space="preserve"> </w:t>
      </w:r>
      <w:r>
        <w:rPr>
          <w:rFonts w:ascii="Times New Roman" w:hAnsi="Times New Roman"/>
          <w:sz w:val="24"/>
        </w:rPr>
        <w:t xml:space="preserve">Germany</w:t>
      </w:r>
      <w:r>
        <w:rPr>
          <w:rFonts w:ascii="Times New Roman" w:hAnsi="Times New Roman"/>
          <w:sz w:val="24"/>
        </w:rPr>
        <w:t xml:space="preserve">’s heating sector,”</w:t>
      </w:r>
      <w:r>
        <w:rPr>
          <w:rFonts w:ascii="Times New Roman" w:hAnsi="Times New Roman"/>
          <w:sz w:val="24"/>
        </w:rPr>
        <w:t xml:space="preserve"> </w:t>
      </w:r>
      <w:r>
        <w:rPr>
          <w:rFonts w:ascii="Times New Roman" w:hAnsi="Times New Roman"/>
          <w:sz w:val="24"/>
        </w:rPr>
        <w:t xml:space="preserve">Oxford Institute for Energy Studies, ET29, 2024. Available:</w:t>
      </w:r>
      <w:r>
        <w:rPr>
          <w:rFonts w:ascii="Times New Roman" w:hAnsi="Times New Roman"/>
          <w:sz w:val="24"/>
        </w:rPr>
        <w:t xml:space="preserve"> </w:t>
      </w:r>
      <w:hyperlink r:id="rId174">
        <w:r>
          <w:rPr>
            <w:rStyle w:val="Hyperlink"/>
          </w:rPr>
          <w:t xml:space="preserve">https://www.oxfordenergy.org/publications/decarbonising-germanys-heating-sector/</w:t>
        </w:r>
      </w:hyperlink>
    </w:p>
    <w:bookmarkEnd w:id="175"/>
    <w:bookmarkStart w:id="177" w:name="ref-Fabra2009etspassthrough"/>
    <w:p>
      <w:pPr>
        <w:pStyle w:val="Bibliography"/>
      </w:pPr>
      <w:r>
        <w:rPr>
          <w:rFonts w:ascii="Times New Roman" w:hAnsi="Times New Roman"/>
          <w:sz w:val="24"/>
        </w:rPr>
        <w:t xml:space="preserve">[63]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N. Fabra and M. Reguant,</w:t>
      </w:r>
      <w:r>
        <w:rPr>
          <w:rFonts w:ascii="Times New Roman" w:hAnsi="Times New Roman"/>
          <w:sz w:val="24"/>
        </w:rPr>
        <w:t xml:space="preserve"> </w:t>
      </w:r>
      <w:r>
        <w:rPr>
          <w:rFonts w:ascii="Times New Roman" w:hAnsi="Times New Roman"/>
          <w:sz w:val="24"/>
        </w:rPr>
        <w:t xml:space="preserve">“Pass-through of emissions costs in electricity markets,”</w:t>
      </w:r>
      <w:r>
        <w:rPr>
          <w:rFonts w:ascii="Times New Roman" w:hAnsi="Times New Roman"/>
          <w:sz w:val="24"/>
        </w:rPr>
        <w:t xml:space="preserve"> </w:t>
      </w:r>
      <w:r>
        <w:rPr>
          <w:rFonts w:ascii="Times New Roman" w:hAnsi="Times New Roman"/>
          <w:i/>
          <w:iCs/>
          <w:sz w:val="24"/>
        </w:rPr>
        <w:t xml:space="preserve">American Economic Review</w:t>
      </w:r>
      <w:r>
        <w:rPr>
          <w:rFonts w:ascii="Times New Roman" w:hAnsi="Times New Roman"/>
          <w:sz w:val="24"/>
        </w:rPr>
        <w:t xml:space="preserve">, vol. 104, no. 9, pp. 2872–2899, 2014, doi:</w:t>
      </w:r>
      <w:r>
        <w:rPr>
          <w:rFonts w:ascii="Times New Roman" w:hAnsi="Times New Roman"/>
          <w:sz w:val="24"/>
        </w:rPr>
        <w:t xml:space="preserve"> </w:t>
      </w:r>
      <w:hyperlink r:id="rId176">
        <w:r>
          <w:rPr>
            <w:rStyle w:val="Hyperlink"/>
          </w:rPr>
          <w:t xml:space="preserve">10.1257/aer.104.9.2872</w:t>
        </w:r>
      </w:hyperlink>
      <w:r>
        <w:rPr>
          <w:rFonts w:ascii="Times New Roman" w:hAnsi="Times New Roman"/>
          <w:sz w:val="24"/>
        </w:rPr>
        <w:t xml:space="preserve">.</w:t>
      </w:r>
    </w:p>
    <w:bookmarkEnd w:id="177"/>
    <w:bookmarkStart w:id="179" w:name="ref-Newbery2016Missing"/>
    <w:p>
      <w:pPr>
        <w:pStyle w:val="Bibliography"/>
      </w:pPr>
      <w:r>
        <w:rPr>
          <w:rFonts w:ascii="Times New Roman" w:hAnsi="Times New Roman"/>
          <w:sz w:val="24"/>
        </w:rPr>
        <w:t xml:space="preserve">[64]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Newbery,</w:t>
      </w:r>
      <w:r>
        <w:rPr>
          <w:rFonts w:ascii="Times New Roman" w:hAnsi="Times New Roman"/>
          <w:sz w:val="24"/>
        </w:rPr>
        <w:t xml:space="preserve"> </w:t>
      </w:r>
      <w:r>
        <w:rPr>
          <w:rFonts w:ascii="Times New Roman" w:hAnsi="Times New Roman"/>
          <w:sz w:val="24"/>
        </w:rPr>
        <w:t xml:space="preserve">“Missing money and missing markets: Reliability, capacity auctions and interconnectors,”</w:t>
      </w:r>
      <w:r>
        <w:rPr>
          <w:rFonts w:ascii="Times New Roman" w:hAnsi="Times New Roman"/>
          <w:sz w:val="24"/>
        </w:rPr>
        <w:t xml:space="preserve"> </w:t>
      </w:r>
      <w:r>
        <w:rPr>
          <w:rFonts w:ascii="Times New Roman" w:hAnsi="Times New Roman"/>
          <w:i/>
          <w:iCs/>
          <w:sz w:val="24"/>
        </w:rPr>
        <w:t xml:space="preserve">Energy Policy</w:t>
      </w:r>
      <w:r>
        <w:rPr>
          <w:rFonts w:ascii="Times New Roman" w:hAnsi="Times New Roman"/>
          <w:sz w:val="24"/>
        </w:rPr>
        <w:t xml:space="preserve">, vol. 94, pp. 401–410, 2016, doi:</w:t>
      </w:r>
      <w:r>
        <w:rPr>
          <w:rFonts w:ascii="Times New Roman" w:hAnsi="Times New Roman"/>
          <w:sz w:val="24"/>
        </w:rPr>
        <w:t xml:space="preserve"> </w:t>
      </w:r>
      <w:hyperlink r:id="rId178">
        <w:r>
          <w:rPr>
            <w:rStyle w:val="Hyperlink"/>
          </w:rPr>
          <w:t xml:space="preserve">10.1016/j.enpol.2015.10.028</w:t>
        </w:r>
      </w:hyperlink>
      <w:r>
        <w:rPr>
          <w:rFonts w:ascii="Times New Roman" w:hAnsi="Times New Roman"/>
          <w:sz w:val="24"/>
        </w:rPr>
        <w:t xml:space="preserve">.</w:t>
      </w:r>
    </w:p>
    <w:bookmarkEnd w:id="179"/>
    <w:bookmarkStart w:id="181" w:name="ref-ACER2023capacity"/>
    <w:p>
      <w:pPr>
        <w:pStyle w:val="Bibliography"/>
      </w:pPr>
      <w:r>
        <w:rPr>
          <w:rFonts w:ascii="Times New Roman" w:hAnsi="Times New Roman"/>
          <w:sz w:val="24"/>
        </w:rPr>
        <w:t xml:space="preserve">[65]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Union Agency for the Cooperation of Energy Regulators,</w:t>
      </w:r>
      <w:r>
        <w:rPr>
          <w:rFonts w:ascii="Times New Roman" w:hAnsi="Times New Roman"/>
          <w:sz w:val="24"/>
        </w:rPr>
        <w:t xml:space="preserve"> </w:t>
      </w:r>
      <w:r>
        <w:rPr>
          <w:rFonts w:ascii="Times New Roman" w:hAnsi="Times New Roman"/>
          <w:sz w:val="24"/>
        </w:rPr>
        <w:t xml:space="preserve">“Security of</w:t>
      </w:r>
      <w:r>
        <w:rPr>
          <w:rFonts w:ascii="Times New Roman" w:hAnsi="Times New Roman"/>
          <w:sz w:val="24"/>
        </w:rPr>
        <w:t xml:space="preserve"> </w:t>
      </w:r>
      <w:r>
        <w:rPr>
          <w:rFonts w:ascii="Times New Roman" w:hAnsi="Times New Roman"/>
          <w:sz w:val="24"/>
        </w:rPr>
        <w:t xml:space="preserve">EU</w:t>
      </w:r>
      <w:r>
        <w:rPr>
          <w:rFonts w:ascii="Times New Roman" w:hAnsi="Times New Roman"/>
          <w:sz w:val="24"/>
        </w:rPr>
        <w:t xml:space="preserve"> </w:t>
      </w:r>
      <w:r>
        <w:rPr>
          <w:rFonts w:ascii="Times New Roman" w:hAnsi="Times New Roman"/>
          <w:sz w:val="24"/>
        </w:rPr>
        <w:t xml:space="preserve">electricity supply: Report on capacity mechanisms,”</w:t>
      </w:r>
      <w:r>
        <w:rPr>
          <w:rFonts w:ascii="Times New Roman" w:hAnsi="Times New Roman"/>
          <w:sz w:val="24"/>
        </w:rPr>
        <w:t xml:space="preserve"> </w:t>
      </w:r>
      <w:r>
        <w:rPr>
          <w:rFonts w:ascii="Times New Roman" w:hAnsi="Times New Roman"/>
          <w:sz w:val="24"/>
        </w:rPr>
        <w:t xml:space="preserve">ACER, Ljubljana, 2023. Available:</w:t>
      </w:r>
      <w:r>
        <w:rPr>
          <w:rFonts w:ascii="Times New Roman" w:hAnsi="Times New Roman"/>
          <w:sz w:val="24"/>
        </w:rPr>
        <w:t xml:space="preserve"> </w:t>
      </w:r>
      <w:hyperlink r:id="rId180">
        <w:r>
          <w:rPr>
            <w:rStyle w:val="Hyperlink"/>
          </w:rPr>
          <w:t xml:space="preserve">https://www.acer.europa.eu/</w:t>
        </w:r>
      </w:hyperlink>
    </w:p>
    <w:bookmarkEnd w:id="181"/>
    <w:bookmarkStart w:id="183" w:name="ref-EU2019ElectricityRegulation"/>
    <w:p>
      <w:pPr>
        <w:pStyle w:val="Bibliography"/>
      </w:pPr>
      <w:r>
        <w:rPr>
          <w:rFonts w:ascii="Times New Roman" w:hAnsi="Times New Roman"/>
          <w:sz w:val="24"/>
        </w:rPr>
        <w:t xml:space="preserve">[66]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Union,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Regulation (EU) 2019/943 of the European Parliament and of the Council of 5 June 2019 on the internal market for electricity (recast)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Official Journal of the European Union L 158, 14.6.2019, pp. 54–124, 2019. Available:</w:t>
      </w:r>
      <w:r>
        <w:rPr>
          <w:rFonts w:ascii="Times New Roman" w:hAnsi="Times New Roman"/>
          <w:sz w:val="24"/>
        </w:rPr>
        <w:t xml:space="preserve"> </w:t>
      </w:r>
      <w:hyperlink r:id="rId182">
        <w:r>
          <w:rPr>
            <w:rStyle w:val="Hyperlink"/>
          </w:rPr>
          <w:t xml:space="preserve">https://eur-lex.europa.eu/eli/reg/2019/943/oj</w:t>
        </w:r>
      </w:hyperlink>
    </w:p>
    <w:bookmarkEnd w:id="183"/>
    <w:bookmarkStart w:id="185" w:name="ref-DESNZ2025T4auction"/>
    <w:p>
      <w:pPr>
        <w:pStyle w:val="Bibliography"/>
      </w:pPr>
      <w:r>
        <w:rPr>
          <w:rFonts w:ascii="Times New Roman" w:hAnsi="Times New Roman"/>
          <w:sz w:val="24"/>
        </w:rPr>
        <w:t xml:space="preserve">[67]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Department for Energy Security and Net Zero,</w:t>
      </w:r>
      <w:r>
        <w:rPr>
          <w:rFonts w:ascii="Times New Roman" w:hAnsi="Times New Roman"/>
          <w:sz w:val="24"/>
        </w:rPr>
        <w:t xml:space="preserve"> </w:t>
      </w:r>
      <w:r>
        <w:rPr>
          <w:rFonts w:ascii="Times New Roman" w:hAnsi="Times New Roman"/>
          <w:sz w:val="24"/>
        </w:rPr>
        <w:t xml:space="preserve">“2024 four year ahead capacity auction (</w:t>
      </w:r>
      <w:r>
        <w:rPr>
          <w:rFonts w:ascii="Times New Roman" w:hAnsi="Times New Roman"/>
          <w:sz w:val="24"/>
        </w:rPr>
        <w:t xml:space="preserve">T</w:t>
      </w:r>
      <w:r>
        <w:rPr>
          <w:rFonts w:ascii="Times New Roman" w:hAnsi="Times New Roman"/>
          <w:sz w:val="24"/>
        </w:rPr>
        <w:t xml:space="preserve">-4) delivery year 2028/29: Auction monitor report,”</w:t>
      </w:r>
      <w:r>
        <w:rPr>
          <w:rFonts w:ascii="Times New Roman" w:hAnsi="Times New Roman"/>
          <w:sz w:val="24"/>
        </w:rPr>
        <w:t xml:space="preserve"> </w:t>
      </w:r>
      <w:r>
        <w:rPr>
          <w:rFonts w:ascii="Times New Roman" w:hAnsi="Times New Roman"/>
          <w:sz w:val="24"/>
        </w:rPr>
        <w:t xml:space="preserve">UK Government, London, 2025. Available:</w:t>
      </w:r>
      <w:r>
        <w:rPr>
          <w:rFonts w:ascii="Times New Roman" w:hAnsi="Times New Roman"/>
          <w:sz w:val="24"/>
        </w:rPr>
        <w:t xml:space="preserve"> </w:t>
      </w:r>
      <w:hyperlink r:id="rId184">
        <w:r>
          <w:rPr>
            <w:rStyle w:val="Hyperlink"/>
          </w:rPr>
          <w:t xml:space="preserve">https://www.gov.uk/government/publications/capacity-market-auction-auction-monitor-report-for-t-4-auction-for-2028-to-2029</w:t>
        </w:r>
      </w:hyperlink>
    </w:p>
    <w:bookmarkEnd w:id="185"/>
    <w:bookmarkStart w:id="187" w:name="ref-Kittel2026Dunkelflaute"/>
    <w:p>
      <w:pPr>
        <w:pStyle w:val="Bibliography"/>
      </w:pPr>
      <w:r>
        <w:rPr>
          <w:rFonts w:ascii="Times New Roman" w:hAnsi="Times New Roman"/>
          <w:sz w:val="24"/>
        </w:rPr>
        <w:t xml:space="preserve">[68]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M. Kittel, A. Roth, and W.-P. Schill,</w:t>
      </w:r>
      <w:r>
        <w:rPr>
          <w:rFonts w:ascii="Times New Roman" w:hAnsi="Times New Roman"/>
          <w:sz w:val="24"/>
        </w:rPr>
        <w:t xml:space="preserve"> </w:t>
      </w:r>
      <w:r>
        <w:rPr>
          <w:rFonts w:ascii="Times New Roman" w:hAnsi="Times New Roman"/>
          <w:sz w:val="24"/>
        </w:rPr>
        <w:t xml:space="preserve">“Long-duration electricity storage needs for coping with</w:t>
      </w:r>
      <w:r>
        <w:rPr>
          <w:rFonts w:ascii="Times New Roman" w:hAnsi="Times New Roman"/>
          <w:sz w:val="24"/>
        </w:rPr>
        <w:t xml:space="preserve"> </w:t>
      </w:r>
      <w:r>
        <w:rPr>
          <w:rFonts w:ascii="Times New Roman" w:hAnsi="Times New Roman"/>
          <w:sz w:val="24"/>
        </w:rPr>
        <w:t xml:space="preserve">Dunkelflaute</w:t>
      </w:r>
      <w:r>
        <w:rPr>
          <w:rFonts w:ascii="Times New Roman" w:hAnsi="Times New Roman"/>
          <w:sz w:val="24"/>
        </w:rPr>
        <w:t xml:space="preserve"> </w:t>
      </w:r>
      <w:r>
        <w:rPr>
          <w:rFonts w:ascii="Times New Roman" w:hAnsi="Times New Roman"/>
          <w:sz w:val="24"/>
        </w:rPr>
        <w:t xml:space="preserve">events in</w:t>
      </w:r>
      <w:r>
        <w:rPr>
          <w:rFonts w:ascii="Times New Roman" w:hAnsi="Times New Roman"/>
          <w:sz w:val="24"/>
        </w:rPr>
        <w:t xml:space="preserve"> </w:t>
      </w:r>
      <w:r>
        <w:rPr>
          <w:rFonts w:ascii="Times New Roman" w:hAnsi="Times New Roman"/>
          <w:sz w:val="24"/>
        </w:rPr>
        <w:t xml:space="preserve">Europe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Nature Communications</w:t>
      </w:r>
      <w:r>
        <w:rPr>
          <w:rFonts w:ascii="Times New Roman" w:hAnsi="Times New Roman"/>
          <w:sz w:val="24"/>
        </w:rPr>
        <w:t xml:space="preserve">, vol. 17, p. 4210, 2026, doi:</w:t>
      </w:r>
      <w:r>
        <w:rPr>
          <w:rFonts w:ascii="Times New Roman" w:hAnsi="Times New Roman"/>
          <w:sz w:val="24"/>
        </w:rPr>
        <w:t xml:space="preserve"> </w:t>
      </w:r>
      <w:hyperlink r:id="rId186">
        <w:r>
          <w:rPr>
            <w:rStyle w:val="Hyperlink"/>
          </w:rPr>
          <w:t xml:space="preserve">10.1038/s41467-026-72681-5</w:t>
        </w:r>
      </w:hyperlink>
      <w:r>
        <w:rPr>
          <w:rFonts w:ascii="Times New Roman" w:hAnsi="Times New Roman"/>
          <w:sz w:val="24"/>
        </w:rPr>
        <w:t xml:space="preserve">.</w:t>
      </w:r>
    </w:p>
    <w:bookmarkEnd w:id="187"/>
    <w:bookmarkStart w:id="189" w:name="ref-Staffell2016Wind"/>
    <w:p>
      <w:pPr>
        <w:pStyle w:val="Bibliography"/>
      </w:pPr>
      <w:r>
        <w:rPr>
          <w:rFonts w:ascii="Times New Roman" w:hAnsi="Times New Roman"/>
          <w:sz w:val="24"/>
        </w:rPr>
        <w:t xml:space="preserve">[69]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 Staffell and S. Pfenninger,</w:t>
      </w:r>
      <w:r>
        <w:rPr>
          <w:rFonts w:ascii="Times New Roman" w:hAnsi="Times New Roman"/>
          <w:sz w:val="24"/>
        </w:rPr>
        <w:t xml:space="preserve"> </w:t>
      </w:r>
      <w:r>
        <w:rPr>
          <w:rFonts w:ascii="Times New Roman" w:hAnsi="Times New Roman"/>
          <w:sz w:val="24"/>
        </w:rPr>
        <w:t xml:space="preserve">“Using bias-corrected reanalysis to simulate current and future wind power output,”</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vol. 114, pp. 1224–1239, 2016, doi:</w:t>
      </w:r>
      <w:r>
        <w:rPr>
          <w:rFonts w:ascii="Times New Roman" w:hAnsi="Times New Roman"/>
          <w:sz w:val="24"/>
        </w:rPr>
        <w:t xml:space="preserve"> </w:t>
      </w:r>
      <w:hyperlink r:id="rId188">
        <w:r>
          <w:rPr>
            <w:rStyle w:val="Hyperlink"/>
          </w:rPr>
          <w:t xml:space="preserve">10.1016/j.energy.2016.08.068</w:t>
        </w:r>
      </w:hyperlink>
      <w:r>
        <w:rPr>
          <w:rFonts w:ascii="Times New Roman" w:hAnsi="Times New Roman"/>
          <w:sz w:val="24"/>
        </w:rPr>
        <w:t xml:space="preserve">.</w:t>
      </w:r>
    </w:p>
    <w:bookmarkEnd w:id="189"/>
    <w:bookmarkStart w:id="191" w:name="ref-Pfenninger2016Solar"/>
    <w:p>
      <w:pPr>
        <w:pStyle w:val="Bibliography"/>
      </w:pPr>
      <w:r>
        <w:rPr>
          <w:rFonts w:ascii="Times New Roman" w:hAnsi="Times New Roman"/>
          <w:sz w:val="24"/>
        </w:rPr>
        <w:t xml:space="preserve">[70]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S. Pfenninger and I. Staffell,</w:t>
      </w:r>
      <w:r>
        <w:rPr>
          <w:rFonts w:ascii="Times New Roman" w:hAnsi="Times New Roman"/>
          <w:sz w:val="24"/>
        </w:rPr>
        <w:t xml:space="preserve"> </w:t>
      </w:r>
      <w:r>
        <w:rPr>
          <w:rFonts w:ascii="Times New Roman" w:hAnsi="Times New Roman"/>
          <w:sz w:val="24"/>
        </w:rPr>
        <w:t xml:space="preserve">“Long-term patterns of</w:t>
      </w:r>
      <w:r>
        <w:rPr>
          <w:rFonts w:ascii="Times New Roman" w:hAnsi="Times New Roman"/>
          <w:sz w:val="24"/>
        </w:rPr>
        <w:t xml:space="preserve"> </w:t>
      </w:r>
      <w:r>
        <w:rPr>
          <w:rFonts w:ascii="Times New Roman" w:hAnsi="Times New Roman"/>
          <w:sz w:val="24"/>
        </w:rPr>
        <w:t xml:space="preserve">European</w:t>
      </w:r>
      <w:r>
        <w:rPr>
          <w:rFonts w:ascii="Times New Roman" w:hAnsi="Times New Roman"/>
          <w:sz w:val="24"/>
        </w:rPr>
        <w:t xml:space="preserve"> </w:t>
      </w:r>
      <w:r>
        <w:rPr>
          <w:rFonts w:ascii="Times New Roman" w:hAnsi="Times New Roman"/>
          <w:sz w:val="24"/>
        </w:rPr>
        <w:t xml:space="preserve">PV</w:t>
      </w:r>
      <w:r>
        <w:rPr>
          <w:rFonts w:ascii="Times New Roman" w:hAnsi="Times New Roman"/>
          <w:sz w:val="24"/>
        </w:rPr>
        <w:t xml:space="preserve"> </w:t>
      </w:r>
      <w:r>
        <w:rPr>
          <w:rFonts w:ascii="Times New Roman" w:hAnsi="Times New Roman"/>
          <w:sz w:val="24"/>
        </w:rPr>
        <w:t xml:space="preserve">output using 30 years of validated hourly reanalysis and satellite data,”</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vol. 114, pp. 1251–1265, 2016, doi:</w:t>
      </w:r>
      <w:r>
        <w:rPr>
          <w:rFonts w:ascii="Times New Roman" w:hAnsi="Times New Roman"/>
          <w:sz w:val="24"/>
        </w:rPr>
        <w:t xml:space="preserve"> </w:t>
      </w:r>
      <w:hyperlink r:id="rId190">
        <w:r>
          <w:rPr>
            <w:rStyle w:val="Hyperlink"/>
          </w:rPr>
          <w:t xml:space="preserve">10.1016/j.energy.2016.08.060</w:t>
        </w:r>
      </w:hyperlink>
      <w:r>
        <w:rPr>
          <w:rFonts w:ascii="Times New Roman" w:hAnsi="Times New Roman"/>
          <w:sz w:val="24"/>
        </w:rPr>
        <w:t xml:space="preserve">.</w:t>
      </w:r>
    </w:p>
    <w:bookmarkEnd w:id="191"/>
    <w:bookmarkEnd w:id="192"/>
    <w:bookmarkEnd w:id="193"/>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480" w:lineRule="auto"/>
      <w:jc w:val="both"/>
    </w:pPr>
    <w:rPr>
      <w:rFonts w:ascii="Times New Roman" w:cs="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40" w:line="480" w:lineRule="auto"/>
      <w:jc w:val="left"/>
      <w:outlineLvl w:val="0"/>
    </w:pPr>
    <w:rPr>
      <w:rFonts w:ascii="Times New Roman" w:asciiTheme="majorHAnsi" w:cs="Times New Roman" w:cstheme="majorBidi" w:eastAsia="Times New Roman" w:eastAsiaTheme="majorEastAsia" w:hAnsi="Times New Roman" w:hAnsiTheme="majorHAnsi"/>
      <w:b/>
      <w:bCs/>
      <w:sz w:val="24"/>
      <w:szCs w:val="28"/>
    </w:rPr>
  </w:style>
  <w:style w:styleId="Heading2" w:type="paragraph">
    <w:name w:val="heading 2"/>
    <w:basedOn w:val="Normal"/>
    <w:next w:val="Normal"/>
    <w:link w:val="Heading2Char"/>
    <w:uiPriority w:val="9"/>
    <w:unhideWhenUsed/>
    <w:qFormat/>
    <w:rsid w:val="00FC693F"/>
    <w:pPr>
      <w:keepNext/>
      <w:keepLines/>
      <w:spacing w:after="0" w:before="240" w:line="480" w:lineRule="auto"/>
      <w:jc w:val="left"/>
      <w:outlineLvl w:val="1"/>
    </w:pPr>
    <w:rPr>
      <w:rFonts w:ascii="Times New Roman" w:asciiTheme="majorHAnsi" w:cs="Times New Roman" w:cstheme="majorBidi" w:eastAsia="Times New Roman" w:eastAsiaTheme="majorEastAsia" w:hAnsi="Times New Roman" w:hAnsiTheme="majorHAnsi"/>
      <w:b/>
      <w:bCs/>
      <w:sz w:val="24"/>
      <w:szCs w:val="26"/>
    </w:rPr>
  </w:style>
  <w:style w:styleId="Heading3" w:type="paragraph">
    <w:name w:val="heading 3"/>
    <w:basedOn w:val="Normal"/>
    <w:next w:val="Normal"/>
    <w:link w:val="Heading3Char"/>
    <w:uiPriority w:val="9"/>
    <w:unhideWhenUsed/>
    <w:qFormat/>
    <w:rsid w:val="00FC693F"/>
    <w:pPr>
      <w:keepNext/>
      <w:keepLines/>
      <w:spacing w:after="0" w:before="240" w:line="480" w:lineRule="auto"/>
      <w:jc w:val="left"/>
      <w:outlineLvl w:val="2"/>
    </w:pPr>
    <w:rPr>
      <w:rFonts w:ascii="Times New Roman" w:asciiTheme="majorHAnsi" w:cs="Times New Roman" w:cstheme="majorBidi" w:eastAsia="Times New Roman" w:eastAsiaTheme="majorEastAsia" w:hAnsi="Times New Roman" w:hAnsiTheme="majorHAnsi"/>
      <w:b/>
      <w:bCs/>
      <w:sz w:val="24"/>
    </w:rPr>
  </w:style>
  <w:style w:styleId="Heading4" w:type="paragraph">
    <w:name w:val="heading 4"/>
    <w:basedOn w:val="Normal"/>
    <w:next w:val="Normal"/>
    <w:link w:val="Heading4Char"/>
    <w:uiPriority w:val="9"/>
    <w:semiHidden/>
    <w:unhideWhenUsed/>
    <w:qFormat/>
    <w:rsid w:val="00FC693F"/>
    <w:pPr>
      <w:keepNext/>
      <w:keepLines/>
      <w:spacing w:after="0" w:before="240" w:line="480" w:lineRule="auto"/>
      <w:jc w:val="left"/>
      <w:outlineLvl w:val="3"/>
    </w:pPr>
    <w:rPr>
      <w:rFonts w:ascii="Times New Roman" w:asciiTheme="majorHAnsi" w:cs="Times New Roman" w:cstheme="majorBidi" w:eastAsia="Times New Roman" w:eastAsiaTheme="majorEastAsia" w:hAnsi="Times New Roman"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480" w:lineRule="auto"/>
    </w:pPr>
    <w:rPr>
      <w:rFonts w:ascii="Times New Roman" w:hAnsi="Times New Roman"/>
      <w:b/>
      <w:bCs/>
      <w:i w:val="0"/>
      <w:sz w:val="24"/>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FirstParagraph" w:type="paragraph">
    <w:name w:val="First Paragraph"/>
    <w:basedOn w:val="BodyText"/>
  </w:style>
  <w:style w:styleId="Bibliography" w:type="paragraph">
    <w:name w:val="Bibliography"/>
    <w:basedOn w:val="Normal"/>
  </w:style>
  <w:style w:styleId="CaptionedFigure" w:type="paragraph">
    <w:name w:val="Captioned Figure"/>
    <w:basedOn w:val="Normal"/>
  </w:style>
  <w:style w:styleId="ImageCaption" w:type="paragraph">
    <w:name w:val="Image Caption"/>
    <w:basedOn w:val="Caption"/>
    <w:rPr>
      <w:b w:val="0"/>
      <w:bCs w:val="0"/>
    </w:rPr>
  </w:style>
  <w:style w:styleId="TableCaption" w:type="paragraph">
    <w:name w:val="Table Caption"/>
    <w:basedOn w:val="Caption"/>
    <w:rPr>
      <w:b w:val="0"/>
      <w:bCs w:val="0"/>
    </w:rPr>
  </w:style>
  <w:style w:styleId="SectionNumber" w:type="character">
    <w:name w:val="Section Number"/>
    <w:basedOn w:val="DefaultParagraphFont"/>
  </w:style>
  <w:style w:styleId="Hyperlink" w:type="character">
    <w:name w:val="Hyperlink"/>
    <w:basedOn w:val="DefaultParagraphFon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15" Type="http://schemas.openxmlformats.org/officeDocument/2006/relationships/image" Target="media/rId15.png"/><Relationship Id="rId22" Type="http://schemas.openxmlformats.org/officeDocument/2006/relationships/image" Target="media/rId22.png"/><Relationship Id="rId27" Type="http://schemas.openxmlformats.org/officeDocument/2006/relationships/image" Target="media/rId27.png"/><Relationship Id="rId32" Type="http://schemas.openxmlformats.org/officeDocument/2006/relationships/image" Target="media/rId32.png"/><Relationship Id="rId36" Type="http://schemas.openxmlformats.org/officeDocument/2006/relationships/image" Target="media/rId36.png"/><Relationship Id="rId44" Type="http://schemas.openxmlformats.org/officeDocument/2006/relationships/image" Target="media/rId44.png"/><Relationship Id="rId145" Type="http://schemas.openxmlformats.org/officeDocument/2006/relationships/hyperlink" Target="https://climate.ec.europa.eu/eu-action/eu-emissions-trading-system-eu-ets/ets2-buildings-road-transport-and-additional-sectors_en" TargetMode="External"/><Relationship Id="rId62" Type="http://schemas.openxmlformats.org/officeDocument/2006/relationships/hyperlink" Target="https://commission.europa.eu/strategy-and-policy/priorities-2019-2024/european-green-deal_en" TargetMode="External"/><Relationship Id="rId114" Type="http://schemas.openxmlformats.org/officeDocument/2006/relationships/hyperlink" Target="https://doi.org/10.1016/j.apenergy.2019.113936" TargetMode="External"/><Relationship Id="rId89" Type="http://schemas.openxmlformats.org/officeDocument/2006/relationships/hyperlink" Target="https://doi.org/10.1016/j.apenergy.2023.122152" TargetMode="External"/><Relationship Id="rId85" Type="http://schemas.openxmlformats.org/officeDocument/2006/relationships/hyperlink" Target="https://doi.org/10.1016/j.crsus.2023.100010" TargetMode="External"/><Relationship Id="rId126" Type="http://schemas.openxmlformats.org/officeDocument/2006/relationships/hyperlink" Target="https://doi.org/10.1016/j.enbuild.2016.06.094" TargetMode="External"/><Relationship Id="rId108" Type="http://schemas.openxmlformats.org/officeDocument/2006/relationships/hyperlink" Target="https://doi.org/10.1016/j.enconman.2022.116602" TargetMode="External"/><Relationship Id="rId93" Type="http://schemas.openxmlformats.org/officeDocument/2006/relationships/hyperlink" Target="https://doi.org/10.1016/j.enconman.2023.117850" TargetMode="External"/><Relationship Id="rId118" Type="http://schemas.openxmlformats.org/officeDocument/2006/relationships/hyperlink" Target="https://doi.org/10.1016/j.enconman.2024.118426" TargetMode="External"/><Relationship Id="rId122" Type="http://schemas.openxmlformats.org/officeDocument/2006/relationships/hyperlink" Target="https://doi.org/10.1016/j.eneco.2020.104694" TargetMode="External"/><Relationship Id="rId190" Type="http://schemas.openxmlformats.org/officeDocument/2006/relationships/hyperlink" Target="https://doi.org/10.1016/j.energy.2016.08.060" TargetMode="External"/><Relationship Id="rId188" Type="http://schemas.openxmlformats.org/officeDocument/2006/relationships/hyperlink" Target="https://doi.org/10.1016/j.energy.2016.08.068" TargetMode="External"/><Relationship Id="rId95" Type="http://schemas.openxmlformats.org/officeDocument/2006/relationships/hyperlink" Target="https://doi.org/10.1016/j.energy.2018.06.222" TargetMode="External"/><Relationship Id="rId106" Type="http://schemas.openxmlformats.org/officeDocument/2006/relationships/hyperlink" Target="https://doi.org/10.1016/j.energy.2019.03.189" TargetMode="External"/><Relationship Id="rId104" Type="http://schemas.openxmlformats.org/officeDocument/2006/relationships/hyperlink" Target="https://doi.org/10.1016/j.energy.2019.04.098" TargetMode="External"/><Relationship Id="rId116" Type="http://schemas.openxmlformats.org/officeDocument/2006/relationships/hyperlink" Target="https://doi.org/10.1016/j.energy.2021.120784" TargetMode="External"/><Relationship Id="rId178" Type="http://schemas.openxmlformats.org/officeDocument/2006/relationships/hyperlink" Target="https://doi.org/10.1016/j.enpol.2015.10.028" TargetMode="External"/><Relationship Id="rId159" Type="http://schemas.openxmlformats.org/officeDocument/2006/relationships/hyperlink" Target="https://doi.org/10.1016/j.ijhydene.2014.07.121" TargetMode="External"/><Relationship Id="rId163" Type="http://schemas.openxmlformats.org/officeDocument/2006/relationships/hyperlink" Target="https://doi.org/10.1016/j.ijhydene.2019.12.161" TargetMode="External"/><Relationship Id="rId161" Type="http://schemas.openxmlformats.org/officeDocument/2006/relationships/hyperlink" Target="https://doi.org/10.1016/j.ijhydene.2021.08.028" TargetMode="External"/><Relationship Id="rId171" Type="http://schemas.openxmlformats.org/officeDocument/2006/relationships/hyperlink" Target="https://doi.org/10.1016/j.isci.2023.108771" TargetMode="External"/><Relationship Id="rId120" Type="http://schemas.openxmlformats.org/officeDocument/2006/relationships/hyperlink" Target="https://doi.org/10.1016/j.joule.2018.08.006" TargetMode="External"/><Relationship Id="rId83" Type="http://schemas.openxmlformats.org/officeDocument/2006/relationships/hyperlink" Target="https://doi.org/10.1016/j.joule.2022.08.015" TargetMode="External"/><Relationship Id="rId97" Type="http://schemas.openxmlformats.org/officeDocument/2006/relationships/hyperlink" Target="https://doi.org/10.1016/j.joule.2023.06.016" TargetMode="External"/><Relationship Id="rId72" Type="http://schemas.openxmlformats.org/officeDocument/2006/relationships/hyperlink" Target="https://doi.org/10.1016/j.joule.2023.08.005" TargetMode="External"/><Relationship Id="rId112" Type="http://schemas.openxmlformats.org/officeDocument/2006/relationships/hyperlink" Target="https://doi.org/10.1016/j.jup.2007.10.003" TargetMode="External"/><Relationship Id="rId65" Type="http://schemas.openxmlformats.org/officeDocument/2006/relationships/hyperlink" Target="https://doi.org/10.1016/j.rser.2024.114827" TargetMode="External"/><Relationship Id="rId99" Type="http://schemas.openxmlformats.org/officeDocument/2006/relationships/hyperlink" Target="https://doi.org/10.1038/s41467-024-49867-w" TargetMode="External"/><Relationship Id="rId186" Type="http://schemas.openxmlformats.org/officeDocument/2006/relationships/hyperlink" Target="https://doi.org/10.1038/s41467-026-72681-5" TargetMode="External"/><Relationship Id="rId124" Type="http://schemas.openxmlformats.org/officeDocument/2006/relationships/hyperlink" Target="https://doi.org/10.1038/s41597-023-02040-2" TargetMode="External"/><Relationship Id="rId110" Type="http://schemas.openxmlformats.org/officeDocument/2006/relationships/hyperlink" Target="https://doi.org/10.1039/c9se00833k" TargetMode="External"/><Relationship Id="rId81" Type="http://schemas.openxmlformats.org/officeDocument/2006/relationships/hyperlink" Target="https://doi.org/10.1111/jcms.13539" TargetMode="External"/><Relationship Id="rId70" Type="http://schemas.openxmlformats.org/officeDocument/2006/relationships/hyperlink" Target="https://doi.org/10.1177/0143624420975707" TargetMode="External"/><Relationship Id="rId176" Type="http://schemas.openxmlformats.org/officeDocument/2006/relationships/hyperlink" Target="https://doi.org/10.1257/aer.104.9.2872" TargetMode="External"/><Relationship Id="rId153" Type="http://schemas.openxmlformats.org/officeDocument/2006/relationships/hyperlink" Target="https://doi.org/10.59327/ipcc/ar6-9789291691647" TargetMode="External"/><Relationship Id="rId133" Type="http://schemas.openxmlformats.org/officeDocument/2006/relationships/hyperlink" Target="https://ec.europa.eu/eurostat/databrowser/view/CENS_21DWBNO_R3" TargetMode="External"/><Relationship Id="rId151" Type="http://schemas.openxmlformats.org/officeDocument/2006/relationships/hyperlink" Target="https://ec.europa.eu/eurostat/statistics-explained/index.php/Natural_gas_price_statistics" TargetMode="External"/><Relationship Id="rId149" Type="http://schemas.openxmlformats.org/officeDocument/2006/relationships/hyperlink" Target="https://ec.europa.eu/eurostat/statistics-explained/index.php?title=Electricity_price_statistics" TargetMode="External"/><Relationship Id="rId155" Type="http://schemas.openxmlformats.org/officeDocument/2006/relationships/hyperlink" Target="https://ember-energy.org/latest-insights/european-electricity-review-2024/" TargetMode="External"/><Relationship Id="rId139" Type="http://schemas.openxmlformats.org/officeDocument/2006/relationships/hyperlink" Target="https://ens.dk/en/our-services/projections-and-models/technology-data" TargetMode="External"/><Relationship Id="rId182" Type="http://schemas.openxmlformats.org/officeDocument/2006/relationships/hyperlink" Target="https://eur-lex.europa.eu/eli/reg/2019/943/oj" TargetMode="External"/><Relationship Id="rId165" Type="http://schemas.openxmlformats.org/officeDocument/2006/relationships/hyperlink" Target="https://eur-lex.europa.eu/legal-content/EN/TXT/?uri=CELEX:52018DC0773" TargetMode="External"/><Relationship Id="rId79" Type="http://schemas.openxmlformats.org/officeDocument/2006/relationships/hyperlink" Target="https://eur-lex.europa.eu/legal-content/EN/TXT/?uri=SWD:2022:230:FIN" TargetMode="External"/><Relationship Id="rId77" Type="http://schemas.openxmlformats.org/officeDocument/2006/relationships/hyperlink" Target="https://eur-lex.europa.eu/legal-content/EN/TXT/?uri=celex:52022DC0230" TargetMode="External"/><Relationship Id="rId137" Type="http://schemas.openxmlformats.org/officeDocument/2006/relationships/hyperlink" Target="https://gisco-services.ec.europa.eu/distribution/v2/nuts/" TargetMode="External"/><Relationship Id="rId58" Type="http://schemas.openxmlformats.org/officeDocument/2006/relationships/hyperlink" Target="https://github.com/alajwadha/EU-Building-Heat-Model" TargetMode="External"/><Relationship Id="rId131" Type="http://schemas.openxmlformats.org/officeDocument/2006/relationships/hyperlink" Target="https://gitlab.com/hotmaps/regional_demand" TargetMode="External"/><Relationship Id="rId87" Type="http://schemas.openxmlformats.org/officeDocument/2006/relationships/hyperlink" Target="https://h2sciencecoalition.com/blog/hydrogen-for-heating-a-comparison-with-heat-pumps-part-1/" TargetMode="External"/><Relationship Id="rId147" Type="http://schemas.openxmlformats.org/officeDocument/2006/relationships/hyperlink" Target="https://observatory.clean-hydrogen.europa.eu/hydrogen-landscape/production-trade-and-cost/cost-hydrogen-production" TargetMode="External"/><Relationship Id="rId141" Type="http://schemas.openxmlformats.org/officeDocument/2006/relationships/hyperlink" Target="https://publications.jrc.ec.europa.eu/repository/bitstream/JRC109006/kjna28859enn.pdf" TargetMode="External"/><Relationship Id="rId91" Type="http://schemas.openxmlformats.org/officeDocument/2006/relationships/hyperlink" Target="https://theicct.org/publication/hydrogen-for-heating-decarbonization-options-for-households-in-the-european-union-in-2050/" TargetMode="External"/><Relationship Id="rId180" Type="http://schemas.openxmlformats.org/officeDocument/2006/relationships/hyperlink" Target="https://www.acer.europa.eu/" TargetMode="External"/><Relationship Id="rId157" Type="http://schemas.openxmlformats.org/officeDocument/2006/relationships/hyperlink" Target="https://www.eea.europa.eu/data-and-maps/indicators/overview-of-the-electricity-production-3/assessment" TargetMode="External"/><Relationship Id="rId169" Type="http://schemas.openxmlformats.org/officeDocument/2006/relationships/hyperlink" Target="https://www.ehpa.org/market-data/" TargetMode="External"/><Relationship Id="rId75" Type="http://schemas.openxmlformats.org/officeDocument/2006/relationships/hyperlink" Target="https://www.frontier-economics.com/media/byojuyut/the-value-of-hydrogen-in-the-heating-market.pdf" TargetMode="External"/><Relationship Id="rId184" Type="http://schemas.openxmlformats.org/officeDocument/2006/relationships/hyperlink" Target="https://www.gov.uk/government/publications/capacity-market-auction-auction-monitor-report-for-t-4-auction-for-2028-to-2029" TargetMode="External"/><Relationship Id="rId60" Type="http://schemas.openxmlformats.org/officeDocument/2006/relationships/hyperlink" Target="https://www.iea.org/energy-system/buildings" TargetMode="External"/><Relationship Id="rId167" Type="http://schemas.openxmlformats.org/officeDocument/2006/relationships/hyperlink" Target="https://www.iea.org/reports/net-zero-roadmap-a-global-pathway-to-keep-the-15-c-goal-in-reach" TargetMode="External"/><Relationship Id="rId129" Type="http://schemas.openxmlformats.org/officeDocument/2006/relationships/hyperlink" Target="https://www.iea.org/reports/switzerland-2023" TargetMode="External"/><Relationship Id="rId67" Type="http://schemas.openxmlformats.org/officeDocument/2006/relationships/hyperlink" Target="https://www.iea.org/reports/the-future-of-heat-pumps" TargetMode="External"/><Relationship Id="rId143" Type="http://schemas.openxmlformats.org/officeDocument/2006/relationships/hyperlink" Target="https://www.irena.org/-/media/Files/IRENA/Agency/Publication/2022/Nov/IRENA_Heat_Pumps_Costs_Markets_2022.pdf" TargetMode="External"/><Relationship Id="rId135" Type="http://schemas.openxmlformats.org/officeDocument/2006/relationships/hyperlink" Target="https://www.ons.gov.uk/datasets/TS044/editions/2021" TargetMode="External"/><Relationship Id="rId174" Type="http://schemas.openxmlformats.org/officeDocument/2006/relationships/hyperlink" Target="https://www.oxfordenergy.org/publications/decarbonising-germanys-heating-sector/" TargetMode="External"/><Relationship Id="rId9" Type="http://schemas.openxmlformats.org/officeDocument/2006/relationships/footer" Target="footer1.xml"/><Relationship Id="rId10" Type="http://schemas.openxmlformats.org/officeDocument/2006/relationships/image" Target="media/image1.png"/></Relationships>
</file>

<file path=word/_rels/footnotes.xml.rels><?xml version='1.0' encoding='UTF-8' standalone='yes'?>
<Relationships xmlns="http://schemas.openxmlformats.org/package/2006/relationships"><Relationship Id="rId145" Type="http://schemas.openxmlformats.org/officeDocument/2006/relationships/hyperlink" Target="https://climate.ec.europa.eu/eu-action/eu-emissions-trading-system-eu-ets/ets2-buildings-road-transport-and-additional-sectors_en" TargetMode="External"/><Relationship Id="rId62" Type="http://schemas.openxmlformats.org/officeDocument/2006/relationships/hyperlink" Target="https://commission.europa.eu/strategy-and-policy/priorities-2019-2024/european-green-deal_en" TargetMode="External"/><Relationship Id="rId114" Type="http://schemas.openxmlformats.org/officeDocument/2006/relationships/hyperlink" Target="https://doi.org/10.1016/j.apenergy.2019.113936" TargetMode="External"/><Relationship Id="rId89" Type="http://schemas.openxmlformats.org/officeDocument/2006/relationships/hyperlink" Target="https://doi.org/10.1016/j.apenergy.2023.122152" TargetMode="External"/><Relationship Id="rId85" Type="http://schemas.openxmlformats.org/officeDocument/2006/relationships/hyperlink" Target="https://doi.org/10.1016/j.crsus.2023.100010" TargetMode="External"/><Relationship Id="rId126" Type="http://schemas.openxmlformats.org/officeDocument/2006/relationships/hyperlink" Target="https://doi.org/10.1016/j.enbuild.2016.06.094" TargetMode="External"/><Relationship Id="rId108" Type="http://schemas.openxmlformats.org/officeDocument/2006/relationships/hyperlink" Target="https://doi.org/10.1016/j.enconman.2022.116602" TargetMode="External"/><Relationship Id="rId93" Type="http://schemas.openxmlformats.org/officeDocument/2006/relationships/hyperlink" Target="https://doi.org/10.1016/j.enconman.2023.117850" TargetMode="External"/><Relationship Id="rId118" Type="http://schemas.openxmlformats.org/officeDocument/2006/relationships/hyperlink" Target="https://doi.org/10.1016/j.enconman.2024.118426" TargetMode="External"/><Relationship Id="rId122" Type="http://schemas.openxmlformats.org/officeDocument/2006/relationships/hyperlink" Target="https://doi.org/10.1016/j.eneco.2020.104694" TargetMode="External"/><Relationship Id="rId190" Type="http://schemas.openxmlformats.org/officeDocument/2006/relationships/hyperlink" Target="https://doi.org/10.1016/j.energy.2016.08.060" TargetMode="External"/><Relationship Id="rId188" Type="http://schemas.openxmlformats.org/officeDocument/2006/relationships/hyperlink" Target="https://doi.org/10.1016/j.energy.2016.08.068" TargetMode="External"/><Relationship Id="rId95" Type="http://schemas.openxmlformats.org/officeDocument/2006/relationships/hyperlink" Target="https://doi.org/10.1016/j.energy.2018.06.222" TargetMode="External"/><Relationship Id="rId106" Type="http://schemas.openxmlformats.org/officeDocument/2006/relationships/hyperlink" Target="https://doi.org/10.1016/j.energy.2019.03.189" TargetMode="External"/><Relationship Id="rId104" Type="http://schemas.openxmlformats.org/officeDocument/2006/relationships/hyperlink" Target="https://doi.org/10.1016/j.energy.2019.04.098" TargetMode="External"/><Relationship Id="rId116" Type="http://schemas.openxmlformats.org/officeDocument/2006/relationships/hyperlink" Target="https://doi.org/10.1016/j.energy.2021.120784" TargetMode="External"/><Relationship Id="rId178" Type="http://schemas.openxmlformats.org/officeDocument/2006/relationships/hyperlink" Target="https://doi.org/10.1016/j.enpol.2015.10.028" TargetMode="External"/><Relationship Id="rId159" Type="http://schemas.openxmlformats.org/officeDocument/2006/relationships/hyperlink" Target="https://doi.org/10.1016/j.ijhydene.2014.07.121" TargetMode="External"/><Relationship Id="rId163" Type="http://schemas.openxmlformats.org/officeDocument/2006/relationships/hyperlink" Target="https://doi.org/10.1016/j.ijhydene.2019.12.161" TargetMode="External"/><Relationship Id="rId161" Type="http://schemas.openxmlformats.org/officeDocument/2006/relationships/hyperlink" Target="https://doi.org/10.1016/j.ijhydene.2021.08.028" TargetMode="External"/><Relationship Id="rId171" Type="http://schemas.openxmlformats.org/officeDocument/2006/relationships/hyperlink" Target="https://doi.org/10.1016/j.isci.2023.108771" TargetMode="External"/><Relationship Id="rId120" Type="http://schemas.openxmlformats.org/officeDocument/2006/relationships/hyperlink" Target="https://doi.org/10.1016/j.joule.2018.08.006" TargetMode="External"/><Relationship Id="rId83" Type="http://schemas.openxmlformats.org/officeDocument/2006/relationships/hyperlink" Target="https://doi.org/10.1016/j.joule.2022.08.015" TargetMode="External"/><Relationship Id="rId97" Type="http://schemas.openxmlformats.org/officeDocument/2006/relationships/hyperlink" Target="https://doi.org/10.1016/j.joule.2023.06.016" TargetMode="External"/><Relationship Id="rId72" Type="http://schemas.openxmlformats.org/officeDocument/2006/relationships/hyperlink" Target="https://doi.org/10.1016/j.joule.2023.08.005" TargetMode="External"/><Relationship Id="rId112" Type="http://schemas.openxmlformats.org/officeDocument/2006/relationships/hyperlink" Target="https://doi.org/10.1016/j.jup.2007.10.003" TargetMode="External"/><Relationship Id="rId65" Type="http://schemas.openxmlformats.org/officeDocument/2006/relationships/hyperlink" Target="https://doi.org/10.1016/j.rser.2024.114827" TargetMode="External"/><Relationship Id="rId99" Type="http://schemas.openxmlformats.org/officeDocument/2006/relationships/hyperlink" Target="https://doi.org/10.1038/s41467-024-49867-w" TargetMode="External"/><Relationship Id="rId186" Type="http://schemas.openxmlformats.org/officeDocument/2006/relationships/hyperlink" Target="https://doi.org/10.1038/s41467-026-72681-5" TargetMode="External"/><Relationship Id="rId124" Type="http://schemas.openxmlformats.org/officeDocument/2006/relationships/hyperlink" Target="https://doi.org/10.1038/s41597-023-02040-2" TargetMode="External"/><Relationship Id="rId110" Type="http://schemas.openxmlformats.org/officeDocument/2006/relationships/hyperlink" Target="https://doi.org/10.1039/c9se00833k" TargetMode="External"/><Relationship Id="rId81" Type="http://schemas.openxmlformats.org/officeDocument/2006/relationships/hyperlink" Target="https://doi.org/10.1111/jcms.13539" TargetMode="External"/><Relationship Id="rId70" Type="http://schemas.openxmlformats.org/officeDocument/2006/relationships/hyperlink" Target="https://doi.org/10.1177/0143624420975707" TargetMode="External"/><Relationship Id="rId176" Type="http://schemas.openxmlformats.org/officeDocument/2006/relationships/hyperlink" Target="https://doi.org/10.1257/aer.104.9.2872" TargetMode="External"/><Relationship Id="rId153" Type="http://schemas.openxmlformats.org/officeDocument/2006/relationships/hyperlink" Target="https://doi.org/10.59327/ipcc/ar6-9789291691647" TargetMode="External"/><Relationship Id="rId133" Type="http://schemas.openxmlformats.org/officeDocument/2006/relationships/hyperlink" Target="https://ec.europa.eu/eurostat/databrowser/view/CENS_21DWBNO_R3" TargetMode="External"/><Relationship Id="rId151" Type="http://schemas.openxmlformats.org/officeDocument/2006/relationships/hyperlink" Target="https://ec.europa.eu/eurostat/statistics-explained/index.php/Natural_gas_price_statistics" TargetMode="External"/><Relationship Id="rId149" Type="http://schemas.openxmlformats.org/officeDocument/2006/relationships/hyperlink" Target="https://ec.europa.eu/eurostat/statistics-explained/index.php?title=Electricity_price_statistics" TargetMode="External"/><Relationship Id="rId155" Type="http://schemas.openxmlformats.org/officeDocument/2006/relationships/hyperlink" Target="https://ember-energy.org/latest-insights/european-electricity-review-2024/" TargetMode="External"/><Relationship Id="rId139" Type="http://schemas.openxmlformats.org/officeDocument/2006/relationships/hyperlink" Target="https://ens.dk/en/our-services/projections-and-models/technology-data" TargetMode="External"/><Relationship Id="rId182" Type="http://schemas.openxmlformats.org/officeDocument/2006/relationships/hyperlink" Target="https://eur-lex.europa.eu/eli/reg/2019/943/oj" TargetMode="External"/><Relationship Id="rId165" Type="http://schemas.openxmlformats.org/officeDocument/2006/relationships/hyperlink" Target="https://eur-lex.europa.eu/legal-content/EN/TXT/?uri=CELEX:52018DC0773" TargetMode="External"/><Relationship Id="rId79" Type="http://schemas.openxmlformats.org/officeDocument/2006/relationships/hyperlink" Target="https://eur-lex.europa.eu/legal-content/EN/TXT/?uri=SWD:2022:230:FIN" TargetMode="External"/><Relationship Id="rId77" Type="http://schemas.openxmlformats.org/officeDocument/2006/relationships/hyperlink" Target="https://eur-lex.europa.eu/legal-content/EN/TXT/?uri=celex:52022DC0230" TargetMode="External"/><Relationship Id="rId137" Type="http://schemas.openxmlformats.org/officeDocument/2006/relationships/hyperlink" Target="https://gisco-services.ec.europa.eu/distribution/v2/nuts/" TargetMode="External"/><Relationship Id="rId58" Type="http://schemas.openxmlformats.org/officeDocument/2006/relationships/hyperlink" Target="https://github.com/alajwadha/EU-Building-Heat-Model" TargetMode="External"/><Relationship Id="rId131" Type="http://schemas.openxmlformats.org/officeDocument/2006/relationships/hyperlink" Target="https://gitlab.com/hotmaps/regional_demand" TargetMode="External"/><Relationship Id="rId87" Type="http://schemas.openxmlformats.org/officeDocument/2006/relationships/hyperlink" Target="https://h2sciencecoalition.com/blog/hydrogen-for-heating-a-comparison-with-heat-pumps-part-1/" TargetMode="External"/><Relationship Id="rId147" Type="http://schemas.openxmlformats.org/officeDocument/2006/relationships/hyperlink" Target="https://observatory.clean-hydrogen.europa.eu/hydrogen-landscape/production-trade-and-cost/cost-hydrogen-production" TargetMode="External"/><Relationship Id="rId141" Type="http://schemas.openxmlformats.org/officeDocument/2006/relationships/hyperlink" Target="https://publications.jrc.ec.europa.eu/repository/bitstream/JRC109006/kjna28859enn.pdf" TargetMode="External"/><Relationship Id="rId91" Type="http://schemas.openxmlformats.org/officeDocument/2006/relationships/hyperlink" Target="https://theicct.org/publication/hydrogen-for-heating-decarbonization-options-for-households-in-the-european-union-in-2050/" TargetMode="External"/><Relationship Id="rId180" Type="http://schemas.openxmlformats.org/officeDocument/2006/relationships/hyperlink" Target="https://www.acer.europa.eu/" TargetMode="External"/><Relationship Id="rId157" Type="http://schemas.openxmlformats.org/officeDocument/2006/relationships/hyperlink" Target="https://www.eea.europa.eu/data-and-maps/indicators/overview-of-the-electricity-production-3/assessment" TargetMode="External"/><Relationship Id="rId169" Type="http://schemas.openxmlformats.org/officeDocument/2006/relationships/hyperlink" Target="https://www.ehpa.org/market-data/" TargetMode="External"/><Relationship Id="rId75" Type="http://schemas.openxmlformats.org/officeDocument/2006/relationships/hyperlink" Target="https://www.frontier-economics.com/media/byojuyut/the-value-of-hydrogen-in-the-heating-market.pdf" TargetMode="External"/><Relationship Id="rId184" Type="http://schemas.openxmlformats.org/officeDocument/2006/relationships/hyperlink" Target="https://www.gov.uk/government/publications/capacity-market-auction-auction-monitor-report-for-t-4-auction-for-2028-to-2029" TargetMode="External"/><Relationship Id="rId60" Type="http://schemas.openxmlformats.org/officeDocument/2006/relationships/hyperlink" Target="https://www.iea.org/energy-system/buildings" TargetMode="External"/><Relationship Id="rId167" Type="http://schemas.openxmlformats.org/officeDocument/2006/relationships/hyperlink" Target="https://www.iea.org/reports/net-zero-roadmap-a-global-pathway-to-keep-the-15-c-goal-in-reach" TargetMode="External"/><Relationship Id="rId129" Type="http://schemas.openxmlformats.org/officeDocument/2006/relationships/hyperlink" Target="https://www.iea.org/reports/switzerland-2023" TargetMode="External"/><Relationship Id="rId67" Type="http://schemas.openxmlformats.org/officeDocument/2006/relationships/hyperlink" Target="https://www.iea.org/reports/the-future-of-heat-pumps" TargetMode="External"/><Relationship Id="rId143" Type="http://schemas.openxmlformats.org/officeDocument/2006/relationships/hyperlink" Target="https://www.irena.org/-/media/Files/IRENA/Agency/Publication/2022/Nov/IRENA_Heat_Pumps_Costs_Markets_2022.pdf" TargetMode="External"/><Relationship Id="rId135" Type="http://schemas.openxmlformats.org/officeDocument/2006/relationships/hyperlink" Target="https://www.ons.gov.uk/datasets/TS044/editions/2021" TargetMode="External"/><Relationship Id="rId174" Type="http://schemas.openxmlformats.org/officeDocument/2006/relationships/hyperlink" Target="https://www.oxfordenergy.org/publications/decarbonising-germanys-heating-s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2026-08-11T17:38:40Z</dcterms:created>
  <dcterms:modified xsi:type="dcterms:W3CDTF">2026-08-11T17:38:40Z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/home/user/eu-hydrogen-buildings/paper/References_v1.bib</vt:lpwstr>
  </property>
  <property fmtid="{D5CDD505-2E9C-101B-9397-08002B2CF9AE}" pid="3" name="csl">
    <vt:lpwstr>/home/user/eu-hydrogen-buildings/paper/ieee.csl</vt:lpwstr>
  </property>
</Properties>
</file>