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from energy-only rents, 9% in the central case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Scenario ambition moves 2050 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Continental models report hydrogen's role in building heat at national resolution, whereas building-stock assessments fix its share exogenously. Neither gives a peaker's standalone capital-recovery position market by market. We bound that share from the winter-peak dispatch, cap each scenario at or below it, screen it across district heat and power, and charge each carrier its last mile on levelised cost. A bottom-up model covers 29 markets over 200 Monte Carlo draws. Three findings follow. On 2050 levelised cost the best heat pump delivers €118.5/MWh against €122.8 for a hydrogen boiler and €132.7 for gas, beating hydrogen in 22 of 29 markets. That count is the least robust result here, spanning 13 to 29 across the hydrogen price paths, and two assumptions favour hydrogen throughout: taxed retail electricity near €209/MWh against €50/MWh delivered, and a green price where the blue route costs €81/MWh. On short-run marginal cost hydrogen wins the winter power peak on the high carbon path in a different seven, all salt-cavern markets on a binary geology screen. No market recovers that peaker's capital from energy-only rents, about 9% in the central case, so at €600/kW a technology-neutral payment procures gas and selecting hydrogen needs an emissions-conditioned payment, about €172/tCO₂ in the central case. Residential-heating emissions in 2050 span 10 to 352 MtCO₂ from 644. The power-sector results rest on one constructed weather year and are a screening exercise, not an adequacy assessment.</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Against those strands, this paper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The advance behind those three is twofold. First, where other work imposes a hydrogen</w:t>
      </w:r>
      <w:r>
        <w:rPr>
          <w:rFonts w:ascii="Times New Roman" w:hAnsi="Times New Roman"/>
          <w:sz w:val="24"/>
        </w:rPr>
        <w:t xml:space="preserve"> </w:t>
      </w:r>
      <w:r>
        <w:rPr>
          <w:rFonts w:ascii="Times New Roman" w:hAnsi="Times New Roman"/>
          <w:sz w:val="24"/>
        </w:rPr>
        <w:t xml:space="preserve">share and stops, we impose transparent adoption pathways and then test them against an</w:t>
      </w:r>
      <w:r>
        <w:rPr>
          <w:rFonts w:ascii="Times New Roman" w:hAnsi="Times New Roman"/>
          <w:sz w:val="24"/>
        </w:rPr>
        <w:t xml:space="preserve"> </w:t>
      </w:r>
      <w:r>
        <w:rPr>
          <w:rFonts w:ascii="Times New Roman" w:hAnsi="Times New Roman"/>
          <w:sz w:val="24"/>
        </w:rPr>
        <w:t xml:space="preserve">independent dispatch screen, market by market, exposing the cost</w:t>
      </w:r>
      <w:r>
        <w:rPr>
          <w:rFonts w:ascii="Times New Roman" w:hAnsi="Times New Roman"/>
          <w:sz w:val="24"/>
        </w:rPr>
        <w:t xml:space="preserve"> </w:t>
      </w:r>
      <w:r>
        <w:rPr>
          <w:rFonts w:ascii="Times New Roman" w:hAnsi="Times New Roman"/>
          <w:sz w:val="24"/>
        </w:rPr>
        <w:t xml:space="preserve">and geology regimes a continental average would bury. Second, we recast the question from</w:t>
      </w:r>
      <w:r>
        <w:rPr>
          <w:rFonts w:ascii="Times New Roman" w:hAnsi="Times New Roman"/>
          <w:sz w:val="24"/>
        </w:rPr>
        <w:t xml:space="preserve"> </w:t>
      </w:r>
      <w:r>
        <w:rPr>
          <w:rFonts w:ascii="Times New Roman" w:hAnsi="Times New Roman"/>
          <w:sz w:val="24"/>
        </w:rPr>
        <w:t xml:space="preserve">an energy-share contest into one about capacity and capital, screening the linked arenas</w:t>
      </w:r>
      <w:r>
        <w:rPr>
          <w:rFonts w:ascii="Times New Roman" w:hAnsi="Times New Roman"/>
          <w:sz w:val="24"/>
        </w:rPr>
        <w:t xml:space="preserve"> </w:t>
      </w:r>
      <w:r>
        <w:rPr>
          <w:rFonts w:ascii="Times New Roman" w:hAnsi="Times New Roman"/>
          <w:sz w:val="24"/>
        </w:rPr>
        <w:t xml:space="preserve">on one dispatch basis and testing capital recovery on the plant that wins the power</w:t>
      </w:r>
      <w:r>
        <w:rPr>
          <w:rFonts w:ascii="Times New Roman" w:hAnsi="Times New Roman"/>
          <w:sz w:val="24"/>
        </w:rPr>
        <w:t xml:space="preserve"> </w:t>
      </w:r>
      <w:r>
        <w:rPr>
          <w:rFonts w:ascii="Times New Roman" w:hAnsi="Times New Roman"/>
          <w:sz w:val="24"/>
        </w:rPr>
        <w:t xml:space="preserve">peak. To deliver both we assemble a bottom-up</w:t>
      </w:r>
      <w:r>
        <w:rPr>
          <w:rFonts w:ascii="Times New Roman" w:hAnsi="Times New Roman"/>
          <w:sz w:val="24"/>
        </w:rPr>
        <w:t xml:space="preserve"> </w:t>
      </w:r>
      <w:r>
        <w:rPr>
          <w:rFonts w:ascii="Times New Roman" w:hAnsi="Times New Roman"/>
          <w:sz w:val="24"/>
        </w:rPr>
        <w:t xml:space="preserve">techno-economic model of residential heating across the EU-27, the United Kingdom and</w:t>
      </w:r>
      <w:r>
        <w:rPr>
          <w:rFonts w:ascii="Times New Roman" w:hAnsi="Times New Roman"/>
          <w:sz w:val="24"/>
        </w:rPr>
        <w:t xml:space="preserve"> </w:t>
      </w:r>
      <w:r>
        <w:rPr>
          <w:rFonts w:ascii="Times New Roman" w:hAnsi="Times New Roman"/>
          <w:sz w:val="24"/>
        </w:rPr>
        <w:t xml:space="preserve">Switzerland from 2025 to 2050, reconstructing useful heat demand from NUTS3 building</w:t>
      </w:r>
      <w:r>
        <w:rPr>
          <w:rFonts w:ascii="Times New Roman" w:hAnsi="Times New Roman"/>
          <w:sz w:val="24"/>
        </w:rPr>
        <w:t xml:space="preserve"> </w:t>
      </w:r>
      <w:r>
        <w:rPr>
          <w:rFonts w:ascii="Times New Roman" w:hAnsi="Times New Roman"/>
          <w:sz w:val="24"/>
        </w:rPr>
        <w:t xml:space="preserve">stock and aggregating it to the country before any cost test, benchmarking it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and propagating it through eight technologies and four scenarios in a 200-draw Monte Carlo</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w:t>
      </w:r>
    </w:p>
    <w:p>
      <w:pPr>
        <w:pStyle w:val="BodyText"/>
      </w:pPr>
      <w:r>
        <w:rPr>
          <w:rFonts w:ascii="Times New Roman" w:hAnsi="Times New Roman"/>
          <w:sz w:val="24"/>
        </w:rPr>
        <w:t xml:space="preserve">The accounting is where our numbers part company with published comparisons. On the</w:t>
      </w:r>
      <w:r>
        <w:rPr>
          <w:rFonts w:ascii="Times New Roman" w:hAnsi="Times New Roman"/>
          <w:sz w:val="24"/>
        </w:rPr>
        <w:t xml:space="preserve"> </w:t>
      </w:r>
      <w:r>
        <w:rPr>
          <w:rFonts w:ascii="Times New Roman" w:hAnsi="Times New Roman"/>
          <w:sz w:val="24"/>
        </w:rPr>
        <w:t xml:space="preserve">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which does not shrink because a machine is</w:t>
      </w:r>
      <w:r>
        <w:rPr>
          <w:rFonts w:ascii="Times New Roman" w:hAnsi="Times New Roman"/>
          <w:sz w:val="24"/>
        </w:rPr>
        <w:t xml:space="preserve"> </w:t>
      </w:r>
      <w:r>
        <w:rPr>
          <w:rFonts w:ascii="Times New Roman" w:hAnsi="Times New Roman"/>
          <w:sz w:val="24"/>
        </w:rPr>
        <w:t xml:space="preserve">efficient. Published comparisons differ in which of these they charge, so we sweep each;</w:t>
      </w:r>
      <w:r>
        <w:rPr>
          <w:rFonts w:ascii="Times New Roman" w:hAnsi="Times New Roman"/>
          <w:sz w:val="24"/>
        </w:rPr>
        <w:t xml:space="preserve"> </w:t>
      </w:r>
      <w:r>
        <w:rPr>
          <w:rFonts w:ascii="Times New Roman" w:hAnsi="Times New Roman"/>
          <w:sz w:val="24"/>
        </w:rPr>
        <w:t xml:space="preserve">adopting them narrows the heat pump’s margin without reversing the median ordering, and</w:t>
      </w:r>
      <w:r>
        <w:rPr>
          <w:rFonts w:ascii="Times New Roman" w:hAnsi="Times New Roman"/>
          <w:sz w:val="24"/>
        </w:rPr>
        <w:t xml:space="preserve"> </w:t>
      </w:r>
      <w:r>
        <w:rPr>
          <w:rFonts w:ascii="Times New Roman" w:hAnsi="Times New Roman"/>
          <w:sz w:val="24"/>
        </w:rPr>
        <w:t xml:space="preserve">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Cheap storage sets how wide the remaining seven are, about</w:t>
      </w:r>
      <w:r>
        <w:rPr>
          <w:rFonts w:ascii="Times New Roman" w:hAnsi="Times New Roman"/>
          <w:sz w:val="24"/>
        </w:rPr>
        <w:t xml:space="preserve"> </w:t>
      </w:r>
      <w:r>
        <w:rPr>
          <w:rFonts w:ascii="Times New Roman" w:hAnsi="Times New Roman"/>
          <w:sz w:val="24"/>
        </w:rPr>
        <w:t xml:space="preserve">€12/MWh with salt caverns against a median €24 without</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but does not select them, since repriced at the non-cavern</w:t>
      </w:r>
      <w:r>
        <w:rPr>
          <w:rFonts w:ascii="Times New Roman" w:hAnsi="Times New Roman"/>
          <w:sz w:val="24"/>
        </w:rPr>
        <w:t xml:space="preserve"> </w:t>
      </w:r>
      <w:r>
        <w:rPr>
          <w:rFonts w:ascii="Times New Roman" w:hAnsi="Times New Roman"/>
          <w:sz w:val="24"/>
        </w:rPr>
        <w:t xml:space="preserve">rate five still hold on retail electricity taxation alone. Repriced on the short-run marginal cost a system operator</w:t>
      </w:r>
      <w:r>
        <w:rPr>
          <w:rFonts w:ascii="Times New Roman" w:hAnsi="Times New Roman"/>
          <w:sz w:val="24"/>
        </w:rPr>
        <w:t xml:space="preserve"> </w:t>
      </w:r>
      <w:r>
        <w:rPr>
          <w:rFonts w:ascii="Times New Roman" w:hAnsi="Times New Roman"/>
          <w:sz w:val="24"/>
        </w:rPr>
        <w:t xml:space="preserve">uses, hydrogen wins the cold-snap peak in a minority of markets that grows with policy</w:t>
      </w:r>
      <w:r>
        <w:rPr>
          <w:rFonts w:ascii="Times New Roman" w:hAnsi="Times New Roman"/>
          <w:sz w:val="24"/>
        </w:rPr>
        <w:t xml:space="preserve"> </w:t>
      </w:r>
      <w:r>
        <w:rPr>
          <w:rFonts w:ascii="Times New Roman" w:hAnsi="Times New Roman"/>
          <w:sz w:val="24"/>
        </w:rPr>
        <w:t xml:space="preserve">ambition, and no market recovers that peaker’s capital, about 9 per cent in the central case, the classic</w:t>
      </w:r>
      <w:r>
        <w:rPr>
          <w:rFonts w:ascii="Times New Roman" w:hAnsi="Times New Roman"/>
          <w:sz w:val="24"/>
        </w:rPr>
        <w:t xml:space="preserve"> </w:t>
      </w:r>
      <w:r>
        <w:rPr>
          <w:rFonts w:ascii="Times New Roman" w:hAnsi="Times New Roman"/>
          <w:sz w:val="24"/>
        </w:rPr>
        <w:t xml:space="preserve">missing-money problem.</w:t>
      </w:r>
    </w:p>
    <w:p>
      <w:pPr>
        <w:pStyle w:val="BodyText"/>
      </w:pPr>
      <w:r>
        <w:rPr>
          <w:rFonts w:ascii="Times New Roman" w:hAnsi="Times New Roman"/>
          <w:sz w:val="24"/>
        </w:rPr>
        <w:t xml:space="preserve">These findings answer one research question: under what conditions, and where, is</w:t>
      </w:r>
      <w:r>
        <w:rPr>
          <w:rFonts w:ascii="Times New Roman" w:hAnsi="Times New Roman"/>
          <w:sz w:val="24"/>
        </w:rPr>
        <w:t xml:space="preserve"> </w:t>
      </w:r>
      <w:r>
        <w:rPr>
          <w:rFonts w:ascii="Times New Roman" w:hAnsi="Times New Roman"/>
          <w:sz w:val="24"/>
        </w:rPr>
        <w:t xml:space="preserve">decarbonised hydrogen competitive against heat-pump electrification in the buildings of the</w:t>
      </w:r>
      <w:r>
        <w:rPr>
          <w:rFonts w:ascii="Times New Roman" w:hAnsi="Times New Roman"/>
          <w:sz w:val="24"/>
        </w:rPr>
        <w:t xml:space="preserve"> </w:t>
      </w:r>
      <w:r>
        <w:rPr>
          <w:rFonts w:ascii="Times New Roman" w:hAnsi="Times New Roman"/>
          <w:sz w:val="24"/>
        </w:rPr>
        <w:t xml:space="preserve">EU-27, the United Kingdom and Switzerland by 2050?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[39], [40]</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a technology that fails an earlier test is not rescued by a later one. The first two tests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[41]</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[42], [43]</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w:t>
      </w:r>
      <w:r>
        <w:rPr>
          <w:rFonts w:ascii="Times New Roman" w:hAnsi="Times New Roman"/>
          <w:b/>
          <w:bCs/>
          <w:sz w:val="24"/>
        </w:rPr>
        <w:t xml:space="preserve"> </w:t>
      </w:r>
      <w:r>
        <w:rPr>
          <w:rFonts w:ascii="Times New Roman" w:hAnsi="Times New Roman"/>
          <w:b/>
          <w:bCs/>
          <w:sz w:val="24"/>
        </w:rPr>
        <w:t xml:space="preserve">by NUTS3 region, 2025.</w:t>
      </w:r>
      <w:r>
        <w:rPr>
          <w:rFonts w:ascii="Times New Roman" w:hAnsi="Times New Roman"/>
          <w:sz w:val="24"/>
        </w:rPr>
        <w:t xml:space="preserve"> </w:t>
      </w:r>
      <w:r>
        <w:rPr>
          <w:rFonts w:ascii="Times New Roman" w:hAnsi="Times New Roman"/>
          <w:sz w:val="24"/>
        </w:rPr>
        <w:t xml:space="preserve">From the bottom-up build. The regional resolution sets the demand surface and the demand weights carried through the study (Section 2). The colour scale is logarithmic over 0.3 to 12 TWh/yr, close to the 2nd and 98th percentiles of the mapped values, and the colourbar arrowheads mark the regions outside that range.</w:t>
      </w:r>
    </w:p>
    <w:bookmarkEnd w:id="18"/>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not divided a second time by the</w:t>
      </w:r>
      <w:r>
        <w:rPr>
          <w:rFonts w:ascii="Times New Roman" w:hAnsi="Times New Roman"/>
          <w:sz w:val="24"/>
        </w:rPr>
        <w:t xml:space="preserve"> </w:t>
      </w:r>
      <w:r>
        <w:rPr>
          <w:rFonts w:ascii="Times New Roman" w:hAnsi="Times New Roman"/>
          <w:sz w:val="24"/>
        </w:rPr>
        <w:t xml:space="preserve">machine’s efficiency,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[46], [47]</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[49]</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[50], [51]</w:t>
      </w:r>
      <w:r>
        <w:rPr>
          <w:rFonts w:ascii="Times New Roman" w:hAnsi="Times New Roman"/>
          <w:sz w:val="24"/>
        </w:rPr>
        <w:t xml:space="preserve">.</w:t>
      </w:r>
    </w:p>
    <w:p>
      <w:pPr>
        <w:pStyle w:val="BodyText"/>
      </w:pPr>
      <w:r>
        <w:rPr>
          <w:rFonts w:ascii="Times New Roman" w:hAnsi="Times New Roman"/>
          <w:sz w:val="24"/>
        </w:rPr>
        <w:t xml:space="preserve">A scope-1 inventory runs alongside the cost layer on the same technology split, charging</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[52]</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[53], [54]</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w:t>
      </w:r>
      <w:r>
        <w:rPr>
          <w:rFonts w:ascii="Times New Roman" w:hAnsi="Times New Roman"/>
          <w:sz w:val="24"/>
        </w:rPr>
        <w:t xml:space="preserve"> </w:t>
      </w:r>
      <w:r>
        <w:rPr>
          <w:rFonts w:ascii="Times New Roman" w:hAnsi="Times New Roman"/>
          <w:sz w:val="24"/>
        </w:rPr>
        <w:t xml:space="preserve">coverage-weighted blend of conversion and new build, a median €13.4/MWh, and the</w:t>
      </w:r>
      <w:r>
        <w:rPr>
          <w:rFonts w:ascii="Times New Roman" w:hAnsi="Times New Roman"/>
          <w:sz w:val="24"/>
        </w:rPr>
        <w:t xml:space="preserve"> </w:t>
      </w:r>
      <w:r>
        <w:rPr>
          <w:rFonts w:ascii="Times New Roman" w:hAnsi="Times New Roman"/>
          <w:sz w:val="24"/>
        </w:rPr>
        <w:t xml:space="preserve">heat pump a low- and medium-voltage reinforcement adder, a median €4.9/MWh.</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short-run marginal costs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w:t>
      </w:r>
      <w:r>
        <w:rPr>
          <w:rFonts w:ascii="Times New Roman" w:hAnsi="Times New Roman"/>
          <w:sz w:val="24"/>
        </w:rPr>
        <w:t xml:space="preserve"> </w:t>
      </w:r>
      <w:r>
        <w:rPr>
          <w:rFonts w:ascii="Times New Roman" w:hAnsi="Times New Roman"/>
          <w:sz w:val="24"/>
        </w:rPr>
        <w:t xml:space="preserve">caverns and €100 without. Cold-snap heat-pump performance is derated from the</w:t>
      </w:r>
      <w:r>
        <w:rPr>
          <w:rFonts w:ascii="Times New Roman" w:hAnsi="Times New Roman"/>
          <w:sz w:val="24"/>
        </w:rPr>
        <w:t xml:space="preserve"> </w:t>
      </w:r>
      <w:r>
        <w:rPr>
          <w:rFonts w:ascii="Times New Roman" w:hAnsi="Times New Roman"/>
          <w:sz w:val="24"/>
        </w:rPr>
        <w:t xml:space="preserve">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short-run marginal cost,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[55]</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Each sets six levers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hydrogen</w:t>
      </w:r>
      <w:r>
        <w:rPr>
          <w:rFonts w:ascii="Times New Roman" w:hAnsi="Times New Roman"/>
          <w:sz w:val="24"/>
        </w:rPr>
        <w:t xml:space="preserve"> </w:t>
      </w:r>
      <w:r>
        <w:rPr>
          <w:rFonts w:ascii="Times New Roman" w:hAnsi="Times New Roman"/>
          <w:sz w:val="24"/>
        </w:rPr>
        <w:t xml:space="preserve">adoption setting among them. That setting is exogenous; the dispatch screen tests it</w:t>
      </w:r>
      <w:r>
        <w:rPr>
          <w:rFonts w:ascii="Times New Roman" w:hAnsi="Times New Roman"/>
          <w:sz w:val="24"/>
        </w:rPr>
        <w:t xml:space="preserve"> </w:t>
      </w:r>
      <w:r>
        <w:rPr>
          <w:rFonts w:ascii="Times New Roman" w:hAnsi="Times New Roman"/>
          <w:sz w:val="24"/>
        </w:rPr>
        <w:t xml:space="preserve">rather than sets it.</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Six exogenous levers per scenario, with</w:t>
      </w:r>
      <w:r>
        <w:rPr>
          <w:rFonts w:ascii="Times New Roman" w:hAnsi="Times New Roman"/>
          <w:sz w:val="24"/>
        </w:rPr>
        <w:t xml:space="preserve"> </w:t>
      </w:r>
      <w:r>
        <w:rPr>
          <w:rFonts w:ascii="Times New Roman" w:hAnsi="Times New Roman"/>
          <w:sz w:val="24"/>
        </w:rPr>
        <w:t xml:space="preserve">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independently, not a lever</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earlier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Xbaa4144a1cc8941ae7bb0a1a8e74343d6b954c0"/>
    <w:p>
      <w:pPr/>
      <w:r>
        <w:rPr>
          <w:rFonts w:ascii="Times New Roman" w:hAnsi="Times New Roman"/>
          <w:b/>
          <w:sz w:val="24"/>
        </w:rPr>
        <w:t xml:space="preserve">The weather the power layer runs on, and what it costs the result</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w:t>
      </w:r>
      <w:r>
        <w:rPr>
          <w:rFonts w:ascii="Times New Roman" w:hAnsi="Times New Roman"/>
          <w:sz w:val="24"/>
        </w:rPr>
        <w:t xml:space="preserve"> </w:t>
      </w:r>
      <w:r>
        <w:rPr>
          <w:rFonts w:ascii="Times New Roman" w:hAnsi="Times New Roman"/>
          <w:sz w:val="24"/>
        </w:rPr>
        <w:t xml:space="preserve">0.75 on fuel prices, and reported at the 10th, 50th and 90th percentiles. A Sobol screen ranks the four</w:t>
      </w:r>
      <w:r>
        <w:rPr>
          <w:rFonts w:ascii="Times New Roman" w:hAnsi="Times New Roman"/>
          <w:sz w:val="24"/>
        </w:rPr>
        <w:t xml:space="preserve"> </w:t>
      </w:r>
      <w:r>
        <w:rPr>
          <w:rFonts w:ascii="Times New Roman" w:hAnsi="Times New Roman"/>
          <w:sz w:val="24"/>
        </w:rPr>
        <w:t xml:space="preserve">demand drivers, and rank-regression coefficients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 technology that fails an</w:t>
      </w:r>
      <w:r>
        <w:rPr>
          <w:rFonts w:ascii="Times New Roman" w:hAnsi="Times New Roman"/>
          <w:sz w:val="24"/>
        </w:rPr>
        <w:t xml:space="preserve"> </w:t>
      </w:r>
      <w:r>
        <w:rPr>
          <w:rFonts w:ascii="Times New Roman" w:hAnsi="Times New Roman"/>
          <w:sz w:val="24"/>
        </w:rPr>
        <w:t xml:space="preserve">earlier one is not rescued by a later one.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t xml:space="preserve">Useful-heat demand across the 29-country study area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root-mean-square</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points and median</w:t>
      </w:r>
      <w:r>
        <w:rPr>
          <w:rFonts w:ascii="Times New Roman" w:hAnsi="Times New Roman"/>
          <w:sz w:val="24"/>
        </w:rPr>
        <w:t xml:space="preserve"> </w:t>
      </w:r>
      <w:r>
        <w:t xml:space="preserve">8.5</w:t>
      </w:r>
      <w:r>
        <w:rPr>
          <w:rFonts w:ascii="Times New Roman" w:hAnsi="Times New Roman"/>
          <w:sz w:val="24"/>
        </w:rPr>
        <w:t xml:space="preserve">.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The NUTS3 layer sets the demand field and the weights every later statistic carries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Everything after it runs on country parameters, so no cost</w:t>
      </w:r>
      <w:r>
        <w:rPr>
          <w:rFonts w:ascii="Times New Roman" w:hAnsi="Times New Roman"/>
          <w:sz w:val="24"/>
        </w:rPr>
        <w:t xml:space="preserve"> </w:t>
      </w:r>
      <w:r>
        <w:rPr>
          <w:rFonts w:ascii="Times New Roman" w:hAnsi="Times New Roman"/>
          <w:sz w:val="24"/>
        </w:rPr>
        <w:t xml:space="preserve">ordering is resolved beneath the country.</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warming path,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w:t>
      </w:r>
      <w:r>
        <w:rPr>
          <w:rFonts w:ascii="Times New Roman" w:hAnsi="Times New Roman"/>
          <w:sz w:val="24"/>
        </w:rPr>
        <w:t xml:space="preserve"> </w:t>
      </w:r>
      <w:r>
        <w:rPr>
          <w:rFonts w:ascii="Times New Roman" w:hAnsi="Times New Roman"/>
          <w:sz w:val="24"/>
        </w:rPr>
        <w:t xml:space="preserve">that the dispatch screen tests rather than sets. That screen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w:t>
      </w:r>
      <w:r>
        <w:rPr>
          <w:rFonts w:ascii="Times New Roman" w:hAnsi="Times New Roman"/>
          <w:sz w:val="24"/>
        </w:rPr>
        <w:t xml:space="preserve"> </w:t>
      </w:r>
      <w:r>
        <w:rPr>
          <w:rFonts w:ascii="Times New Roman" w:hAnsi="Times New Roman"/>
          <w:sz w:val="24"/>
        </w:rPr>
        <w:t xml:space="preserve">it and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UK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emissions move a great deal. All four start from the same</w:t>
      </w:r>
      <w:r>
        <w:rPr>
          <w:rFonts w:ascii="Times New Roman" w:hAnsi="Times New Roman"/>
          <w:sz w:val="24"/>
        </w:rPr>
        <w:t xml:space="preserve"> </w:t>
      </w:r>
      <w:r>
        <w:rPr>
          <w:rFonts w:ascii="Times New Roman" w:hAnsi="Times New Roman"/>
          <w:sz w:val="24"/>
        </w:rPr>
        <w:t xml:space="preserve">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and fan out to roughly 352, 231, 10</w:t>
      </w:r>
      <w:r>
        <w:rPr>
          <w:rFonts w:ascii="Times New Roman" w:hAnsi="Times New Roman"/>
          <w:sz w:val="24"/>
        </w:rPr>
        <w:t xml:space="preserve"> </w:t>
      </w:r>
      <w:r>
        <w:rPr>
          <w:rFonts w:ascii="Times New Roman" w:hAnsi="Times New Roman"/>
          <w:sz w:val="24"/>
        </w:rPr>
        <w:t xml:space="preserve">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t xml:space="preserve">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against existing-fleet seasonal coefficients of performance of 2.8</w:t>
      </w:r>
      <w:r>
        <w:rPr>
          <w:rFonts w:ascii="Times New Roman" w:hAnsi="Times New Roman"/>
          <w:sz w:val="24"/>
        </w:rPr>
        <w:t xml:space="preserve"> </w:t>
      </w:r>
      <w:r>
        <w:rPr>
          <w:rFonts w:ascii="Times New Roman" w:hAnsi="Times New Roman"/>
          <w:sz w:val="24"/>
        </w:rPr>
        <w:t xml:space="preserve">to 4.1</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r>
      <w:r>
        <w:rPr>
          <w:rFonts w:ascii="Times New Roman" w:hAnsi="Times New Roman" w:cs="Times New Roman"/>
          <w:sz w:val="24"/>
        </w:rPr>
        <w:t xml:space="preserve">, and behind it the best heat pump per country already undercuts gas in 16 of the 29. 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component build-up.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w:t>
      </w:r>
      <w:r>
        <w:rPr>
          <w:rFonts w:ascii="Times New Roman" w:hAnsi="Times New Roman"/>
          <w:sz w:val="24"/>
        </w:rPr>
        <w:t xml:space="preserve"> </w:t>
      </w:r>
      <w:r>
        <w:rPr>
          <w:rFonts w:ascii="Times New Roman" w:hAnsi="Times New Roman"/>
          <w:sz w:val="24"/>
        </w:rPr>
        <w:t xml:space="preserve">matches in direction a European household comparison built on a different accounting</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and the mean weighted by each country’s 2025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the bulk-storage literature</w:t>
      </w:r>
      <w:r>
        <w:rPr>
          <w:rFonts w:ascii="Times New Roman" w:hAnsi="Times New Roman"/>
          <w:sz w:val="24"/>
        </w:rPr>
        <w:t xml:space="preserve"> </w:t>
      </w:r>
      <w:r>
        <w:rPr>
          <w:rFonts w:ascii="Times New Roman" w:hAnsi="Times New Roman"/>
          <w:sz w:val="24"/>
        </w:rPr>
        <w:t xml:space="preserve">[58], [59],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Two accounting corrections separate these numbers from a working-paper version of this</w:t>
      </w:r>
      <w:r>
        <w:rPr>
          <w:rFonts w:ascii="Times New Roman" w:hAnsi="Times New Roman"/>
          <w:sz w:val="24"/>
        </w:rPr>
        <w:t xml:space="preserve"> </w:t>
      </w:r>
      <w:r>
        <w:rPr>
          <w:rFonts w:ascii="Times New Roman" w:hAnsi="Times New Roman"/>
          <w:sz w:val="24"/>
        </w:rPr>
        <w:t xml:space="preserve">analysis that circulated publicly with different headlines. Sizing equipment capital to</w:t>
      </w:r>
      <w:r>
        <w:rPr>
          <w:rFonts w:ascii="Times New Roman" w:hAnsi="Times New Roman"/>
          <w:sz w:val="24"/>
        </w:rPr>
        <w:t xml:space="preserve"> </w:t>
      </w:r>
      <w:r>
        <w:rPr>
          <w:rFonts w:ascii="Times New Roman" w:hAnsi="Times New Roman"/>
          <w:sz w:val="24"/>
        </w:rPr>
        <w:t xml:space="preserve">peak heat demand rather than dividing it again by the machine’s efficiency, together with</w:t>
      </w:r>
      <w:r>
        <w:rPr>
          <w:rFonts w:ascii="Times New Roman" w:hAnsi="Times New Roman"/>
          <w:sz w:val="24"/>
        </w:rPr>
        <w:t xml:space="preserve"> </w:t>
      </w:r>
      <w:r>
        <w:rPr>
          <w:rFonts w:ascii="Times New Roman" w:hAnsi="Times New Roman"/>
          <w:sz w:val="24"/>
        </w:rPr>
        <w:t xml:space="preserve">the last-mile charges, moves the base-load count from 28 of 29 markets to 12, and charging</w:t>
      </w:r>
      <w:r>
        <w:rPr>
          <w:rFonts w:ascii="Times New Roman" w:hAnsi="Times New Roman"/>
          <w:sz w:val="24"/>
        </w:rPr>
        <w:t xml:space="preserve"> </w:t>
      </w:r>
      <w:r>
        <w:rPr>
          <w:rFonts w:ascii="Times New Roman" w:hAnsi="Times New Roman"/>
          <w:sz w:val="24"/>
        </w:rPr>
        <w:t xml:space="preserve">the seasonal store consistently across the three arenas moves it back to 22 (Supplementary</w:t>
      </w:r>
      <w:r>
        <w:rPr>
          <w:rFonts w:ascii="Times New Roman" w:hAnsi="Times New Roman"/>
          <w:sz w:val="24"/>
        </w:rPr>
        <w:t xml:space="preserve"> </w:t>
      </w:r>
      <w:r>
        <w:rPr>
          <w:rFonts w:ascii="Times New Roman" w:hAnsi="Times New Roman"/>
          <w:sz w:val="24"/>
        </w:rPr>
        <w:t xml:space="preserve">Section S2.7).</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coefficient of performance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of electricity</w:t>
      </w:r>
      <w:r>
        <w:rPr>
          <w:rFonts w:ascii="Times New Roman" w:hAnsi="Times New Roman"/>
          <w:sz w:val="24"/>
        </w:rPr>
        <w:t xml:space="preserve"> </w:t>
      </w:r>
      <w:r>
        <w:rPr>
          <w:rFonts w:ascii="Times New Roman" w:hAnsi="Times New Roman"/>
          <w:sz w:val="24"/>
        </w:rPr>
        <w:t xml:space="preserve">demand, because the cold snap collapses the coefficient of performance just as demand</w:t>
      </w:r>
      <w:r>
        <w:rPr>
          <w:rFonts w:ascii="Times New Roman" w:hAnsi="Times New Roman"/>
          <w:sz w:val="24"/>
        </w:rPr>
        <w:t xml:space="preserve"> </w:t>
      </w:r>
      <w:r>
        <w:rPr>
          <w:rFonts w:ascii="Times New Roman" w:hAnsi="Times New Roman"/>
          <w:sz w:val="24"/>
        </w:rPr>
        <w:t xml:space="preserve">peaks.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w:t>
      </w:r>
      <w:r>
        <w:rPr>
          <w:rFonts w:ascii="Times New Roman" w:hAnsi="Times New Roman"/>
          <w:sz w:val="24"/>
        </w:rPr>
        <w:t xml:space="preserve"> </w:t>
      </w:r>
      <w:r>
        <w:rPr>
          <w:rFonts w:ascii="Times New Roman" w:hAnsi="Times New Roman"/>
          <w:sz w:val="24"/>
        </w:rPr>
        <w:t xml:space="preserve">therefore robust to how dear electricity distribution proves, and fragile to whether</w:t>
      </w:r>
      <w:r>
        <w:rPr>
          <w:rFonts w:ascii="Times New Roman" w:hAnsi="Times New Roman"/>
          <w:sz w:val="24"/>
        </w:rPr>
        <w:t xml:space="preserve"> </w:t>
      </w:r>
      <w:r>
        <w:rPr>
          <w:rFonts w:ascii="Times New Roman" w:hAnsi="Times New Roman"/>
          <w:sz w:val="24"/>
        </w:rPr>
        <w:t xml:space="preserve">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t xml:space="preserve">The levelised-cost test prices hydrogen as a base-load supplier, whereas its advocates</w:t>
      </w:r>
      <w:r>
        <w:rPr>
          <w:rFonts w:ascii="Times New Roman" w:hAnsi="Times New Roman"/>
          <w:sz w:val="24"/>
        </w:rPr>
        <w:t xml:space="preserve"> </w:t>
      </w:r>
      <w:r>
        <w:rPr>
          <w:rFonts w:ascii="Times New Roman" w:hAnsi="Times New Roman"/>
          <w:sz w:val="24"/>
        </w:rPr>
        <w:t xml:space="preserve">cast it as a peaker serving only the cold-snap tip, when the air-source coefficient of</w:t>
      </w:r>
      <w:r>
        <w:rPr>
          <w:rFonts w:ascii="Times New Roman" w:hAnsi="Times New Roman"/>
          <w:sz w:val="24"/>
        </w:rPr>
        <w:t xml:space="preserve"> </w:t>
      </w:r>
      <w:r>
        <w:rPr>
          <w:rFonts w:ascii="Times New Roman" w:hAnsi="Times New Roman"/>
          <w:sz w:val="24"/>
        </w:rPr>
        <w:t xml:space="preserve">performance collapses. We therefore reprice it on short-run marginal cost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w:t>
      </w:r>
      <w:r>
        <w:rPr>
          <w:rFonts w:ascii="Times New Roman" w:hAnsi="Times New Roman"/>
          <w:sz w:val="24"/>
        </w:rPr>
        <w:t xml:space="preserve"> </w:t>
      </w:r>
      <w:r>
        <w:rPr>
          <w:rFonts w:ascii="Times New Roman" w:hAnsi="Times New Roman"/>
          <w:sz w:val="24"/>
        </w:rPr>
        <w:t xml:space="preserve">sector’s merit order, averaging €215 to 307/MWh, because a high carbon price loads</w:t>
      </w:r>
      <w:r>
        <w:rPr>
          <w:rFonts w:ascii="Times New Roman" w:hAnsi="Times New Roman"/>
          <w:sz w:val="24"/>
        </w:rPr>
        <w:t xml:space="preserve"> </w:t>
      </w:r>
      <w:r>
        <w:rPr>
          <w:rFonts w:ascii="Times New Roman" w:hAnsi="Times New Roman"/>
          <w:sz w:val="24"/>
        </w:rPr>
        <w:t xml:space="preserve">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w:t>
      </w:r>
      <w:r>
        <w:rPr>
          <w:rFonts w:ascii="Times New Roman" w:hAnsi="Times New Roman"/>
          <w:sz w:val="24"/>
        </w:rPr>
        <w:t xml:space="preserve"> </w:t>
      </w:r>
      <w:r>
        <w:rPr>
          <w:rFonts w:ascii="Times New Roman" w:hAnsi="Times New Roman"/>
          <w:sz w:val="24"/>
        </w:rPr>
        <w:t xml:space="preserve">sector under H2 Push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on the earlier draft’s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w:t>
      </w:r>
      <w:r>
        <w:rPr>
          <w:rFonts w:ascii="Times New Roman" w:hAnsi="Times New Roman"/>
          <w:sz w:val="24"/>
        </w:rPr>
        <w:t xml:space="preserve"> </w:t>
      </w:r>
      <w:r>
        <w:rPr>
          <w:rFonts w:ascii="Times New Roman" w:hAnsi="Times New Roman"/>
          <w:sz w:val="24"/>
        </w:rPr>
        <w:t xml:space="preserve">a gas combined-heat-and-power plant is marginal on a cold day in 20 of the 29 networks,</w:t>
      </w:r>
      <w:r>
        <w:rPr>
          <w:rFonts w:ascii="Times New Roman" w:hAnsi="Times New Roman"/>
          <w:sz w:val="24"/>
        </w:rPr>
        <w:t xml:space="preserve"> </w:t>
      </w:r>
      <w:r>
        <w:rPr>
          <w:rFonts w:ascii="Times New Roman" w:hAnsi="Times New Roman"/>
          <w:sz w:val="24"/>
        </w:rPr>
        <w:t xml:space="preserve">which caps the arena at 20.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The earlier draft charged gas</w:t>
      </w:r>
      <w:r>
        <w:rPr>
          <w:rFonts w:ascii="Times New Roman" w:hAnsi="Times New Roman"/>
          <w:sz w:val="24"/>
        </w:rPr>
        <w:t xml:space="preserve"> </w:t>
      </w:r>
      <w:r>
        <w:rPr>
          <w:rFonts w:ascii="Times New Roman" w:hAnsi="Times New Roman"/>
          <w:sz w:val="24"/>
        </w:rPr>
        <w:t xml:space="preserve">the Eurostat residential retail tariff and hydrogen no last-mile network, which flatters</w:t>
      </w:r>
      <w:r>
        <w:rPr>
          <w:rFonts w:ascii="Times New Roman" w:hAnsi="Times New Roman"/>
          <w:sz w:val="24"/>
        </w:rPr>
        <w:t xml:space="preserve"> </w:t>
      </w:r>
      <w:r>
        <w:rPr>
          <w:rFonts w:ascii="Times New Roman" w:hAnsi="Times New Roman"/>
          <w:sz w:val="24"/>
        </w:rPr>
        <w:t xml:space="preserve">hydrogen.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puts the symmetric counts</w:t>
      </w:r>
      <w:r>
        <w:rPr>
          <w:rFonts w:ascii="Times New Roman" w:hAnsi="Times New Roman"/>
          <w:sz w:val="24"/>
        </w:rPr>
        <w:t xml:space="preserve"> </w:t>
      </w:r>
      <w:r>
        <w:rPr>
          <w:rFonts w:ascii="Times New Roman" w:hAnsi="Times New Roman"/>
          <w:sz w:val="24"/>
        </w:rPr>
        <w:t xml:space="preserve">at 0, 0.6, 7.5 and 9.0 per cent of study-area residential heat, the bound each scenario</w:t>
      </w:r>
      <w:r>
        <w:rPr>
          <w:rFonts w:ascii="Times New Roman" w:hAnsi="Times New Roman"/>
          <w:sz w:val="24"/>
        </w:rPr>
        <w:t xml:space="preserve"> </w:t>
      </w:r>
      <w:r>
        <w:rPr>
          <w:rFonts w:ascii="Times New Roman" w:hAnsi="Times New Roman"/>
          <w:sz w:val="24"/>
        </w:rPr>
        <w:t xml:space="preserve">ceiling is set at or below; the earlier draft’s accounting gives 0, 5.1, 7.9 and 9.3.</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t xml:space="preserve">€30/MWh-e above the carbon-priced gas peaker at €256/MWh-e, so the typical</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market does not undercut gas at all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On the evolving-efficiency series the medians close to €238</w:t>
      </w:r>
      <w:r>
        <w:rPr>
          <w:rFonts w:ascii="Times New Roman" w:hAnsi="Times New Roman"/>
          <w:sz w:val="24"/>
        </w:rPr>
        <w:t xml:space="preserve"> </w:t>
      </w:r>
      <w:r>
        <w:rPr>
          <w:rFonts w:ascii="Times New Roman" w:hAnsi="Times New Roman"/>
          <w:sz w:val="24"/>
        </w:rPr>
        <w:t xml:space="preserve">against €239/MWh-e and the undercut count rises to 15, or 8 without the backbone</w:t>
      </w:r>
      <w:r>
        <w:rPr>
          <w:rFonts w:ascii="Times New Roman" w:hAnsi="Times New Roman"/>
          <w:sz w:val="24"/>
        </w:rPr>
        <w:t xml:space="preserve"> </w:t>
      </w:r>
      <w:r>
        <w:rPr>
          <w:rFonts w:ascii="Times New Roman" w:hAnsi="Times New Roman"/>
          <w:sz w:val="24"/>
        </w:rPr>
        <w:t xml:space="preserve">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dispatch hourly with a carrying state of charge, so they shave the daily peak and deplete over a multi-day event;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The two share five.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even the peaking win</w:t>
      </w:r>
      <w:r>
        <w:rPr>
          <w:rFonts w:ascii="Times New Roman" w:hAnsi="Times New Roman"/>
          <w:sz w:val="24"/>
        </w:rPr>
        <w:t xml:space="preserve"> </w:t>
      </w:r>
      <w:r>
        <w:rPr>
          <w:rFonts w:ascii="Times New Roman" w:hAnsi="Times New Roman"/>
          <w:sz w:val="24"/>
        </w:rPr>
        <w:t xml:space="preserve">does not pay for the plant.</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is privately financeable even where</w:t>
      </w:r>
      <w:r>
        <w:rPr>
          <w:rFonts w:ascii="Times New Roman" w:hAnsi="Times New Roman"/>
          <w:sz w:val="24"/>
        </w:rPr>
        <w:t xml:space="preserve"> </w:t>
      </w:r>
      <w:r>
        <w:rPr>
          <w:rFonts w:ascii="Times New Roman" w:hAnsi="Times New Roman"/>
          <w:sz w:val="24"/>
        </w:rPr>
        <w:t xml:space="preserve">its operating cost wins the cold snap. That failure, rather than its size, is the robust</w:t>
      </w:r>
      <w:r>
        <w:rPr>
          <w:rFonts w:ascii="Times New Roman" w:hAnsi="Times New Roman"/>
          <w:sz w:val="24"/>
        </w:rPr>
        <w:t xml:space="preserve"> </w:t>
      </w:r>
      <w:r>
        <w:rPr>
          <w:rFonts w:ascii="Times New Roman" w:hAnsi="Times New Roman"/>
          <w:sz w:val="24"/>
        </w:rPr>
        <w:t xml:space="preserve">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None reaches the 100 per cent private finance requires,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cross-checks that dispatch at 160 full-load hours on a fleet 2.8 GW</w:t>
      </w:r>
      <w:r>
        <w:rPr>
          <w:rFonts w:ascii="Times New Roman" w:hAnsi="Times New Roman"/>
          <w:sz w:val="24"/>
        </w:rPr>
        <w:t xml:space="preserve"> </w:t>
      </w:r>
      <w:r>
        <w:rPr>
          <w:rFonts w:ascii="Times New Roman" w:hAnsi="Times New Roman"/>
          <w:sz w:val="24"/>
        </w:rPr>
        <w:t xml:space="preserve">larger, because ramp and minimum-output limits push residual load onto the peakers. We</w:t>
      </w:r>
      <w:r>
        <w:rPr>
          <w:rFonts w:ascii="Times New Roman" w:hAnsi="Times New Roman"/>
          <w:sz w:val="24"/>
        </w:rPr>
        <w:t xml:space="preserve"> </w:t>
      </w:r>
      <w:r>
        <w:rPr>
          <w:rFonts w:ascii="Times New Roman" w:hAnsi="Times New Roman"/>
          <w:sz w:val="24"/>
        </w:rPr>
        <w:t xml:space="preserve">quote 139 hours throughout, and the extra hours earn more rent, so the cross-check cuts</w:t>
      </w:r>
      <w:r>
        <w:rPr>
          <w:rFonts w:ascii="Times New Roman" w:hAnsi="Times New Roman"/>
          <w:sz w:val="24"/>
        </w:rPr>
        <w:t xml:space="preserve"> </w:t>
      </w:r>
      <w:r>
        <w:rPr>
          <w:rFonts w:ascii="Times New Roman" w:hAnsi="Times New Roman"/>
          <w:sz w:val="24"/>
        </w:rPr>
        <w:t xml:space="preserve">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earlier draft’s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 finances itself in no market or scenario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The difficulty is paying for it.</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alternative accounting an</w:t>
      </w:r>
      <w:r>
        <w:rPr>
          <w:rFonts w:ascii="Times New Roman" w:hAnsi="Times New Roman"/>
          <w:sz w:val="24"/>
        </w:rPr>
        <w:t xml:space="preserve"> </w:t>
      </w:r>
      <w:r>
        <w:rPr>
          <w:rFonts w:ascii="Times New Roman" w:hAnsi="Times New Roman"/>
          <w:sz w:val="24"/>
        </w:rPr>
        <w:t xml:space="preserve">earlier draft used, 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w:t>
      </w:r>
      <w:r>
        <w:rPr>
          <w:rFonts w:ascii="Times New Roman" w:hAnsi="Times New Roman"/>
          <w:sz w:val="24"/>
        </w:rPr>
        <w:t xml:space="preserve"> </w:t>
      </w:r>
      <w:r>
        <w:rPr>
          <w:rFonts w:ascii="Times New Roman" w:hAnsi="Times New Roman"/>
          <w:sz w:val="24"/>
        </w:rPr>
        <w:t xml:space="preserve">550 gCO</w:t>
      </w:r>
      <w:r>
        <w:rPr>
          <w:vertAlign w:val="subscript"/>
        </w:rPr>
        <w:t xml:space="preserve">2</w:t>
      </w:r>
      <w:r>
        <w:rPr>
          <w:rFonts w:ascii="Times New Roman" w:hAnsi="Times New Roman"/>
          <w:sz w:val="24"/>
        </w:rPr>
        <w:t xml:space="preserve">/kWh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a technology-neutral payment at the</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we assume would</w:t>
      </w:r>
      <w:r>
        <w:rPr>
          <w:rFonts w:ascii="Times New Roman" w:hAnsi="Times New Roman"/>
          <w:sz w:val="24"/>
        </w:rPr>
        <w:t xml:space="preserve"> </w:t>
      </w:r>
      <w:r>
        <w:rPr>
          <w:rFonts w:ascii="Times New Roman" w:hAnsi="Times New Roman"/>
          <w:sz w:val="24"/>
        </w:rPr>
        <w:t xml:space="preserve">procure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is a policy choice no</w:t>
      </w:r>
      <w:r>
        <w:rPr>
          <w:rFonts w:ascii="Times New Roman" w:hAnsi="Times New Roman"/>
          <w:sz w:val="24"/>
        </w:rPr>
        <w:t xml:space="preserve"> </w:t>
      </w:r>
      <w:r>
        <w:rPr>
          <w:rFonts w:ascii="Times New Roman" w:hAnsi="Times New Roman"/>
          <w:sz w:val="24"/>
        </w:rPr>
        <w:t xml:space="preserve">market delivers on its own. Fuel prices and tax incidence leave the arithmetic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binding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It is silent on hydrogen.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Ambition is cheap, since the discounted present-value system cost varies by</w:t>
      </w:r>
      <w:r>
        <w:rPr>
          <w:rFonts w:ascii="Times New Roman" w:hAnsi="Times New Roman"/>
          <w:sz w:val="24"/>
        </w:rPr>
        <w:t xml:space="preserve"> </w:t>
      </w:r>
      <w:r>
        <w:rPr>
          <w:rFonts w:ascii="Times New Roman" w:hAnsi="Times New Roman"/>
          <w:sz w:val="24"/>
        </w:rPr>
        <w:t xml:space="preserve">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t xml:space="preserve">Switzerland puts the two comparisons side by side more sharply than any other market,</w:t>
      </w:r>
      <w:r>
        <w:rPr>
          <w:rFonts w:ascii="Times New Roman" w:hAnsi="Times New Roman"/>
          <w:sz w:val="24"/>
        </w:rPr>
        <w:t xml:space="preserve"> </w:t>
      </w:r>
      <w:r>
        <w:rPr>
          <w:rFonts w:ascii="Times New Roman" w:hAnsi="Times New Roman"/>
          <w:sz w:val="24"/>
        </w:rPr>
        <w:t xml:space="preserve">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hydrogen boiler (Fig.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earlier draft’s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w:t>
      </w:r>
      <w:r>
        <w:rPr>
          <w:rFonts w:ascii="Times New Roman" w:hAnsi="Times New Roman"/>
          <w:sz w:val="24"/>
        </w:rPr>
        <w:t xml:space="preserve"> </w:t>
      </w:r>
      <w:r>
        <w:rPr>
          <w:rFonts w:ascii="Times New Roman" w:hAnsi="Times New Roman"/>
          <w:sz w:val="24"/>
        </w:rPr>
        <w:t xml:space="preserve">Switzerland has no salt caverns and so pays the higher seasonal storage rate. Not</w:t>
      </w:r>
      <w:r>
        <w:rPr>
          <w:rFonts w:ascii="Times New Roman" w:hAnsi="Times New Roman"/>
          <w:sz w:val="24"/>
        </w:rPr>
        <w:t xml:space="preserve"> </w:t>
      </w:r>
      <w:r>
        <w:rPr>
          <w:rFonts w:ascii="Times New Roman" w:hAnsi="Times New Roman"/>
          <w:sz w:val="24"/>
        </w:rPr>
        <w:t xml:space="preserve">crediting the national reservoir fleet leaves the best heat pump €5.6/MWh below</w:t>
      </w:r>
      <w:r>
        <w:rPr>
          <w:rFonts w:ascii="Times New Roman" w:hAnsi="Times New Roman"/>
          <w:sz w:val="24"/>
        </w:rPr>
        <w:t xml:space="preserve"> </w:t>
      </w:r>
      <w:r>
        <w:rPr>
          <w:rFonts w:ascii="Times New Roman" w:hAnsi="Times New Roman"/>
          <w:sz w:val="24"/>
        </w:rPr>
        <w:t xml:space="preserve">the hydrogen boiler; crediting it widens the gap to €9.6/MWh.</w:t>
      </w:r>
    </w:p>
    <w:bookmarkEnd w:id="47"/>
    <w:p>
      <w:pPr>
        <w:pStyle w:val="BodyText"/>
      </w:pPr>
      <w:r>
        <w:rPr>
          <w:rFonts w:ascii="Times New Roman" w:hAnsi="Times New Roman"/>
          <w:sz w:val="24"/>
        </w:rPr>
        <w:t xml:space="preserve">A win in one arena does not carry to another, so what the three tests establish together</w:t>
      </w:r>
      <w:r>
        <w:rPr>
          <w:rFonts w:ascii="Times New Roman" w:hAnsi="Times New Roman"/>
          <w:sz w:val="24"/>
        </w:rPr>
        <w:t xml:space="preserve"> </w:t>
      </w:r>
      <w:r>
        <w:rPr>
          <w:rFonts w:ascii="Times New Roman" w:hAnsi="Times New Roman"/>
          <w:sz w:val="24"/>
        </w:rPr>
        <w:t xml:space="preserve">is the scope of hydrogen’s role rather than a single verdict. The base-load market count</w:t>
      </w:r>
      <w:r>
        <w:rPr>
          <w:rFonts w:ascii="Times New Roman" w:hAnsi="Times New Roman"/>
          <w:sz w:val="24"/>
        </w:rPr>
        <w:t xml:space="preserve"> </w:t>
      </w:r>
      <w:r>
        <w:rPr>
          <w:rFonts w:ascii="Times New Roman" w:hAnsi="Times New Roman"/>
          <w:sz w:val="24"/>
        </w:rPr>
        <w:t xml:space="preserve">is the least robust of the three. It moves from 13 to 29 markets across the hydrogen</w:t>
      </w:r>
      <w:r>
        <w:rPr>
          <w:rFonts w:ascii="Times New Roman" w:hAnsi="Times New Roman"/>
          <w:sz w:val="24"/>
        </w:rPr>
        <w:t xml:space="preserve"> </w:t>
      </w:r>
      <w:r>
        <w:rPr>
          <w:rFonts w:ascii="Times New Roman" w:hAnsi="Times New Roman"/>
          <w:sz w:val="24"/>
        </w:rPr>
        <w:t xml:space="preserve">price paths we sample, and it turns in part on a fiscal asymmetry that policy could</w:t>
      </w:r>
      <w:r>
        <w:rPr>
          <w:rFonts w:ascii="Times New Roman" w:hAnsi="Times New Roman"/>
          <w:sz w:val="24"/>
        </w:rPr>
        <w:t xml:space="preserve"> </w:t>
      </w:r>
      <w:r>
        <w:rPr>
          <w:rFonts w:ascii="Times New Roman" w:hAnsi="Times New Roman"/>
          <w:sz w:val="24"/>
        </w:rPr>
        <w:t xml:space="preserve">remove. The capital-recovery result is the most robust. It rests on the arithmetic of a</w:t>
      </w:r>
      <w:r>
        <w:rPr>
          <w:rFonts w:ascii="Times New Roman" w:hAnsi="Times New Roman"/>
          <w:sz w:val="24"/>
        </w:rPr>
        <w:t xml:space="preserve"> </w:t>
      </w:r>
      <w:r>
        <w:rPr>
          <w:rFonts w:ascii="Times New Roman" w:hAnsi="Times New Roman"/>
          <w:sz w:val="24"/>
        </w:rPr>
        <w:t xml:space="preserve">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failure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w:t>
      </w:r>
      <w:r>
        <w:rPr>
          <w:rFonts w:ascii="Times New Roman" w:hAnsi="Times New Roman"/>
          <w:sz w:val="24"/>
        </w:rPr>
        <w:t xml:space="preserve"> </w:t>
      </w:r>
      <w:r>
        <w:rPr>
          <w:rFonts w:ascii="Times New Roman" w:hAnsi="Times New Roman"/>
          <w:sz w:val="24"/>
        </w:rPr>
        <w:t xml:space="preserve">hydrogen as a system operator would. The three tests point the same way about hydrogen’s</w:t>
      </w:r>
      <w:r>
        <w:rPr>
          <w:rFonts w:ascii="Times New Roman" w:hAnsi="Times New Roman"/>
          <w:sz w:val="24"/>
        </w:rPr>
        <w:t xml:space="preserve"> </w:t>
      </w:r>
      <w:r>
        <w:rPr>
          <w:rFonts w:ascii="Times New Roman" w:hAnsi="Times New Roman"/>
          <w:sz w:val="24"/>
        </w:rPr>
        <w:t xml:space="preserve">scope, though all three price it through one storage parameter, so the agreement</w:t>
      </w:r>
      <w:r>
        <w:rPr>
          <w:rFonts w:ascii="Times New Roman" w:hAnsi="Times New Roman"/>
          <w:sz w:val="24"/>
        </w:rPr>
        <w:t xml:space="preserve"> </w:t>
      </w:r>
      <w:r>
        <w:rPr>
          <w:rFonts w:ascii="Times New Roman" w:hAnsi="Times New Roman"/>
          <w:sz w:val="24"/>
        </w:rPr>
        <w:t xml:space="preserve">corroborates less than it suggests.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w:t>
      </w:r>
      <w:r>
        <w:rPr>
          <w:rFonts w:ascii="Times New Roman" w:hAnsi="Times New Roman"/>
          <w:sz w:val="24"/>
        </w:rPr>
        <w:t xml:space="preserve"> </w:t>
      </w:r>
      <w:r>
        <w:rPr>
          <w:rFonts w:ascii="Times New Roman" w:hAnsi="Times New Roman"/>
          <w:sz w:val="24"/>
        </w:rPr>
        <w:t xml:space="preserve">heat-pump count behind them runs from 13 on a rapid hydrogen cost decline to 29 if hydrogen</w:t>
      </w:r>
      <w:r>
        <w:rPr>
          <w:rFonts w:ascii="Times New Roman" w:hAnsi="Times New Roman"/>
          <w:sz w:val="24"/>
        </w:rPr>
        <w:t xml:space="preserve"> </w:t>
      </w:r>
      <w:r>
        <w:rPr>
          <w:rFonts w:ascii="Times New Roman" w:hAnsi="Times New Roman"/>
          <w:sz w:val="24"/>
        </w:rPr>
        <w:t xml:space="preserve">costs stall, and pricing the molecule blue at the €81/MWh route closes all seven</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Levelling the carriers’ fiscal treatment would move</w:t>
      </w:r>
      <w:r>
        <w:rPr>
          <w:rFonts w:ascii="Times New Roman" w:hAnsi="Times New Roman"/>
          <w:sz w:val="24"/>
        </w:rPr>
        <w:t xml:space="preserve"> </w:t>
      </w:r>
      <w:r>
        <w:rPr>
          <w:rFonts w:ascii="Times New Roman" w:hAnsi="Times New Roman"/>
          <w:sz w:val="24"/>
        </w:rPr>
        <w:t xml:space="preserve">the comparison the same way by an amount we do not size.</w:t>
      </w:r>
    </w:p>
    <w:p>
      <w:pPr>
        <w:pStyle w:val="BodyText"/>
      </w:pPr>
      <w:r>
        <w:rPr>
          <w:rFonts w:ascii="Times New Roman" w:hAnsi="Times New Roman"/>
          <w:sz w:val="24"/>
        </w:rPr>
        <w:t xml:space="preserve">(3) Repriced on short-run marginal cost,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w:t>
      </w:r>
      <w:r>
        <w:rPr>
          <w:rFonts w:ascii="Times New Roman" w:hAnsi="Times New Roman"/>
          <w:sz w:val="24"/>
        </w:rPr>
        <w:t xml:space="preserve"> </w:t>
      </w:r>
      <w:r>
        <w:rPr>
          <w:rFonts w:ascii="Times New Roman" w:hAnsi="Times New Roman"/>
          <w:sz w:val="24"/>
        </w:rPr>
        <w:t xml:space="preserve">markets on a binary geology screen, and alternative cavern definitions move the count to</w:t>
      </w:r>
      <w:r>
        <w:rPr>
          <w:rFonts w:ascii="Times New Roman" w:hAnsi="Times New Roman"/>
          <w:sz w:val="24"/>
        </w:rPr>
        <w:t xml:space="preserve"> </w:t>
      </w:r>
      <w:r>
        <w:rPr>
          <w:rFonts w:ascii="Times New Roman" w:hAnsi="Times New Roman"/>
          <w:sz w:val="24"/>
        </w:rPr>
        <w:t xml:space="preserve">six or nine, so this is a screening result rather than a physical one.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 All of this rests on the single constructed weather year of Section 2.</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w:t>
      </w:r>
      <w:r>
        <w:rPr>
          <w:rFonts w:ascii="Times New Roman" w:hAnsi="Times New Roman"/>
          <w:sz w:val="24"/>
        </w:rPr>
        <w:t xml:space="preserve">the four scenarios reach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which the</w:t>
      </w:r>
      <w:r>
        <w:rPr>
          <w:rFonts w:ascii="Times New Roman" w:hAnsi="Times New Roman"/>
          <w:sz w:val="24"/>
        </w:rPr>
        <w:t xml:space="preserve"> </w:t>
      </w:r>
      <w:r>
        <w:rPr>
          <w:rFonts w:ascii="Times New Roman" w:hAnsi="Times New Roman"/>
          <w:sz w:val="24"/>
        </w:rPr>
        <w:t xml:space="preserve">fossil-phaseout lever leads.</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Where hydrogen leads, margins are narrow enough that installer capacity, upfront</w:t>
      </w:r>
      <w:r>
        <w:rPr>
          <w:rFonts w:ascii="Times New Roman" w:hAnsi="Times New Roman"/>
          <w:sz w:val="24"/>
        </w:rPr>
        <w:t xml:space="preserve"> </w:t>
      </w:r>
      <w:r>
        <w:rPr>
          <w:rFonts w:ascii="Times New Roman" w:hAnsi="Times New Roman"/>
          <w:sz w:val="24"/>
        </w:rPr>
        <w:t xml:space="preserve">finance and retail electricity taxation decide the outcome.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 rather than suppress.</w:t>
      </w:r>
    </w:p>
    <w:p>
      <w:pPr>
        <w:pStyle w:val="BodyText"/>
      </w:pPr>
      <w:r>
        <w:rPr>
          <w:rFonts w:ascii="Times New Roman" w:hAnsi="Times New Roman"/>
          <w:sz w:val="24"/>
        </w:rPr>
        <w:t xml:space="preserve">(3) Where a hydrogen peaker is wanted, no private investor is made whole and a</w:t>
      </w:r>
      <w:r>
        <w:rPr>
          <w:rFonts w:ascii="Times New Roman" w:hAnsi="Times New Roman"/>
          <w:sz w:val="24"/>
        </w:rPr>
        <w:t xml:space="preserve"> </w:t>
      </w:r>
      <w:r>
        <w:rPr>
          <w:rFonts w:ascii="Times New Roman" w:hAnsi="Times New Roman"/>
          <w:sz w:val="24"/>
        </w:rPr>
        <w:t xml:space="preserve">technology-neutral mechanism procures unabated gas at the capex assumed here,</w:t>
      </w:r>
      <w:r>
        <w:rPr>
          <w:rFonts w:ascii="Times New Roman" w:hAnsi="Times New Roman"/>
          <w:sz w:val="24"/>
        </w:rPr>
        <w:t xml:space="preserve"> </w:t>
      </w:r>
      <w:r>
        <w:rPr>
          <w:rFonts w:ascii="Times New Roman" w:hAnsi="Times New Roman"/>
          <w:sz w:val="24"/>
        </w:rPr>
        <w:t xml:space="preserve">so a payment conditioned on emissions is what selects hydrogen.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a figure that inherits</w:t>
      </w:r>
      <w:r>
        <w:rPr>
          <w:rFonts w:ascii="Times New Roman" w:hAnsi="Times New Roman"/>
          <w:sz w:val="24"/>
        </w:rPr>
        <w:t xml:space="preserve"> </w:t>
      </w:r>
      <w:r>
        <w:rPr>
          <w:rFonts w:ascii="Times New Roman" w:hAnsi="Times New Roman"/>
          <w:sz w:val="24"/>
        </w:rPr>
        <w:t xml:space="preserve">the turbine capital cost, the full-load hours and the scarcity rent, and reverses only if</w:t>
      </w:r>
      <w:r>
        <w:rPr>
          <w:rFonts w:ascii="Times New Roman" w:hAnsi="Times New Roman"/>
          <w:sz w:val="24"/>
        </w:rPr>
        <w:t xml:space="preserve"> </w:t>
      </w:r>
      <w:r>
        <w:rPr>
          <w:rFonts w:ascii="Times New Roman" w:hAnsi="Times New Roman"/>
          <w:sz w:val="24"/>
        </w:rPr>
        <w:t xml:space="preserve">hydrogen-ready</w:t>
      </w:r>
      <w:r>
        <w:rPr>
          <w:rFonts w:ascii="Times New Roman" w:hAnsi="Times New Roman"/>
          <w:sz w:val="24"/>
        </w:rPr>
        <w:t xml:space="preserve"> </w:t>
      </w:r>
      <w:r>
        <w:rPr>
          <w:rFonts w:ascii="Times New Roman" w:hAnsi="Times New Roman"/>
          <w:sz w:val="24"/>
        </w:rPr>
        <w:t xml:space="preserve">machines carry a premium below about 18 per cent.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are where a</w:t>
      </w:r>
      <w:r>
        <w:rPr>
          <w:rFonts w:ascii="Times New Roman" w:hAnsi="Times New Roman"/>
          <w:sz w:val="24"/>
        </w:rPr>
        <w:t xml:space="preserve"> </w:t>
      </w:r>
      <w:r>
        <w:rPr>
          <w:rFonts w:ascii="Times New Roman" w:hAnsi="Times New Roman"/>
          <w:sz w:val="24"/>
        </w:rPr>
        <w:t xml:space="preserve">complementary instrument bites. The coal-grid Eastern European markets are the clearest</w:t>
      </w:r>
      <w:r>
        <w:rPr>
          <w:rFonts w:ascii="Times New Roman" w:hAnsi="Times New Roman"/>
          <w:sz w:val="24"/>
        </w:rPr>
        <w:t xml:space="preserve"> </w:t>
      </w:r>
      <w:r>
        <w:rPr>
          <w:rFonts w:ascii="Times New Roman" w:hAnsi="Times New Roman"/>
          <w:sz w:val="24"/>
        </w:rPr>
        <w:t xml:space="preserve">case, since heat pumps lead there while the grid is still carbon-intensive.</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w:t>
      </w:r>
      <w:r>
        <w:rPr>
          <w:rFonts w:ascii="Times New Roman" w:hAnsi="Times New Roman"/>
          <w:sz w:val="24"/>
        </w:rPr>
        <w:t xml:space="preserve"> </w:t>
      </w:r>
      <w:r>
        <w:rPr>
          <w:rFonts w:ascii="Times New Roman" w:hAnsi="Times New Roman"/>
          <w:sz w:val="24"/>
        </w:rPr>
        <w:t xml:space="preserve">more recorded weather years and derive the correlation from data</w:t>
      </w:r>
      <w:r>
        <w:rPr>
          <w:rFonts w:ascii="Times New Roman" w:hAnsi="Times New Roman"/>
          <w:sz w:val="24"/>
        </w:rPr>
        <w:t xml:space="preserve"> </w:t>
      </w:r>
      <w:r>
        <w:rPr>
          <w:rFonts w:ascii="Times New Roman" w:hAnsi="Times New Roman"/>
          <w:sz w:val="24"/>
        </w:rPr>
        <w:t xml:space="preserve">[68], [69], [70]</w:t>
      </w:r>
      <w:r>
        <w:rPr>
          <w:rFonts w:ascii="Times New Roman" w:hAnsi="Times New Roman"/>
          <w:sz w:val="24"/>
        </w:rPr>
        <w:t xml:space="preserve">, and this study does</w:t>
      </w:r>
      <w:r>
        <w:rPr>
          <w:rFonts w:ascii="Times New Roman" w:hAnsi="Times New Roman"/>
          <w:sz w:val="24"/>
        </w:rPr>
        <w:t xml:space="preserve"> </w:t>
      </w:r>
      <w:r>
        <w:rPr>
          <w:rFonts w:ascii="Times New Roman" w:hAnsi="Times New Roman"/>
          <w:sz w:val="24"/>
        </w:rPr>
        <w:t xml:space="preserve">neither.</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 That last could still shift</w:t>
      </w:r>
      <w:r>
        <w:rPr>
          <w:rFonts w:ascii="Times New Roman" w:hAnsi="Times New Roman"/>
          <w:sz w:val="24"/>
        </w:rPr>
        <w:t xml:space="preserve"> </w:t>
      </w:r>
      <w:r>
        <w:rPr>
          <w:rFonts w:ascii="Times New Roman" w:hAnsi="Times New Roman"/>
          <w:sz w:val="24"/>
        </w:rPr>
        <w:t xml:space="preserve">the verdict where cheap hydrogen, cavern geology and cross-sector demand coincide.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9" w:name="ref-Caglayan2020caverns"/>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28">
        <w:r>
          <w:rPr>
            <w:rStyle w:val="Hyperlink"/>
          </w:rPr>
          <w:t xml:space="preserve">10.1016/j.ijhydene.2019.12.161</w:t>
        </w:r>
      </w:hyperlink>
      <w:r>
        <w:rPr>
          <w:rFonts w:ascii="Times New Roman" w:hAnsi="Times New Roman"/>
          <w:sz w:val="24"/>
        </w:rPr>
        <w:t xml:space="preserve">.</w:t>
      </w:r>
    </w:p>
    <w:bookmarkEnd w:id="129"/>
    <w:bookmarkStart w:id="130" w:name="ref-Gabrielli2020"/>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30"/>
    <w:bookmarkStart w:id="132" w:name="ref-IEA2023switzerland"/>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31">
        <w:r>
          <w:rPr>
            <w:rStyle w:val="Hyperlink"/>
          </w:rPr>
          <w:t xml:space="preserve">https://www.iea.org/reports/switzerland-2023</w:t>
        </w:r>
      </w:hyperlink>
    </w:p>
    <w:bookmarkEnd w:id="132"/>
    <w:bookmarkStart w:id="134" w:name="ref-Hotmaps2020"/>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3">
        <w:r>
          <w:rPr>
            <w:rStyle w:val="Hyperlink"/>
          </w:rPr>
          <w:t xml:space="preserve">https://gitlab.com/hotmaps/regional_demand</w:t>
        </w:r>
      </w:hyperlink>
    </w:p>
    <w:bookmarkEnd w:id="134"/>
    <w:bookmarkStart w:id="136" w:name="ref-Eurostat2021census"/>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5">
        <w:r>
          <w:rPr>
            <w:rStyle w:val="Hyperlink"/>
          </w:rPr>
          <w:t xml:space="preserve">https://ec.europa.eu/eurostat/databrowser/view/CENS_21DWBNO_R3</w:t>
        </w:r>
      </w:hyperlink>
    </w:p>
    <w:bookmarkEnd w:id="136"/>
    <w:bookmarkStart w:id="138" w:name="ref-ONS2021TS044"/>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7">
        <w:r>
          <w:rPr>
            <w:rStyle w:val="Hyperlink"/>
          </w:rPr>
          <w:t xml:space="preserve">https://www.ons.gov.uk/datasets/TS044/editions/2021</w:t>
        </w:r>
      </w:hyperlink>
    </w:p>
    <w:bookmarkEnd w:id="138"/>
    <w:bookmarkStart w:id="140" w:name="ref-EurostatGISCO2021"/>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9">
        <w:r>
          <w:rPr>
            <w:rStyle w:val="Hyperlink"/>
          </w:rPr>
          <w:t xml:space="preserve">https://gisco-services.ec.europa.eu/distribution/v2/nuts/</w:t>
        </w:r>
      </w:hyperlink>
    </w:p>
    <w:bookmarkEnd w:id="140"/>
    <w:bookmarkStart w:id="142" w:name="ref-DEA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41">
        <w:r>
          <w:rPr>
            <w:rStyle w:val="Hyperlink"/>
          </w:rPr>
          <w:t xml:space="preserve">https://ens.dk/en/our-services/projections-and-models/technology-data</w:t>
        </w:r>
      </w:hyperlink>
    </w:p>
    <w:bookmarkEnd w:id="142"/>
    <w:bookmarkStart w:id="144" w:name="ref-JRC2023technology"/>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3">
        <w:r>
          <w:rPr>
            <w:rStyle w:val="Hyperlink"/>
          </w:rPr>
          <w:t xml:space="preserve">https://publications.jrc.ec.europa.eu/repository/bitstream/JRC109006/kjna28859enn.pdf</w:t>
        </w:r>
      </w:hyperlink>
    </w:p>
    <w:bookmarkEnd w:id="144"/>
    <w:bookmarkStart w:id="146" w:name="ref-IRENA2022heatpumpcosts"/>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5">
        <w:r>
          <w:rPr>
            <w:rStyle w:val="Hyperlink"/>
          </w:rPr>
          <w:t xml:space="preserve">https://www.irena.org/-/media/Files/IRENA/Agency/Publication/2022/Nov/IRENA_Heat_Pumps_Costs_Markets_2022.pdf</w:t>
        </w:r>
      </w:hyperlink>
    </w:p>
    <w:bookmarkEnd w:id="146"/>
    <w:bookmarkStart w:id="148" w:name="ref-EuropeanCommission2024ETS2"/>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7">
        <w:r>
          <w:rPr>
            <w:rStyle w:val="Hyperlink"/>
          </w:rPr>
          <w:t xml:space="preserve">https://climate.ec.europa.eu/eu-action/eu-emissions-trading-system-eu-ets/ets2-buildings-road-transport-and-additional-sectors_en</w:t>
        </w:r>
      </w:hyperlink>
    </w:p>
    <w:bookmarkEnd w:id="148"/>
    <w:bookmarkStart w:id="150" w:name="ref-EHO2024hydrogencost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9">
        <w:r>
          <w:rPr>
            <w:rStyle w:val="Hyperlink"/>
          </w:rPr>
          <w:t xml:space="preserve">https://observatory.clean-hydrogen.europa.eu/hydrogen-landscape/production-trade-and-cost/cost-hydrogen-production</w:t>
        </w:r>
      </w:hyperlink>
    </w:p>
    <w:bookmarkEnd w:id="150"/>
    <w:bookmarkStart w:id="152" w:name="ref-Eurostat2025electricity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https://ec.europa.eu/eurostat/statistics-explained/index.php?title=Electricity_price_statistics</w:t>
        </w:r>
      </w:hyperlink>
    </w:p>
    <w:bookmarkEnd w:id="152"/>
    <w:bookmarkStart w:id="154" w:name="ref-Eurostat2025gasprices"/>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3">
        <w:r>
          <w:rPr>
            <w:rStyle w:val="Hyperlink"/>
          </w:rPr>
          <w:t xml:space="preserve">https://ec.europa.eu/eurostat/statistics-explained/index.php/Natural_gas_price_statistics</w:t>
        </w:r>
      </w:hyperlink>
    </w:p>
    <w:bookmarkEnd w:id="154"/>
    <w:bookmarkStart w:id="156" w:name="ref-Calvin2023Ipcc"/>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5">
        <w:r>
          <w:rPr>
            <w:rStyle w:val="Hyperlink"/>
          </w:rPr>
          <w:t xml:space="preserve">10.59327/ipcc/ar6-9789291691647</w:t>
        </w:r>
      </w:hyperlink>
      <w:r>
        <w:rPr>
          <w:rFonts w:ascii="Times New Roman" w:hAnsi="Times New Roman"/>
          <w:sz w:val="24"/>
        </w:rPr>
        <w:t xml:space="preserve">.</w:t>
      </w:r>
    </w:p>
    <w:bookmarkEnd w:id="156"/>
    <w:bookmarkStart w:id="158" w:name="ref-EMBER2024electric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7">
        <w:r>
          <w:rPr>
            <w:rStyle w:val="Hyperlink"/>
          </w:rPr>
          <w:t xml:space="preserve">https://ember-energy.org/latest-insights/european-electricity-review-2024/</w:t>
        </w:r>
      </w:hyperlink>
    </w:p>
    <w:bookmarkEnd w:id="158"/>
    <w:bookmarkStart w:id="160" w:name="ref-EEA2024gridintensity"/>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9">
        <w:r>
          <w:rPr>
            <w:rStyle w:val="Hyperlink"/>
          </w:rPr>
          <w:t xml:space="preserve">https://www.eea.europa.eu/data-and-maps/indicators/overview-of-the-electricity-production-3/assessment</w:t>
        </w:r>
      </w:hyperlink>
    </w:p>
    <w:bookmarkEnd w:id="160"/>
    <w:bookmarkStart w:id="162" w:name="ref-EuropeanCommission2018LTS"/>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1">
        <w:r>
          <w:rPr>
            <w:rStyle w:val="Hyperlink"/>
          </w:rPr>
          <w:t xml:space="preserve">https://eur-lex.europa.eu/legal-content/EN/TXT/?uri=CELEX:52018DC0773</w:t>
        </w:r>
      </w:hyperlink>
    </w:p>
    <w:bookmarkEnd w:id="162"/>
    <w:bookmarkStart w:id="164" w:name="ref-IEA2023NZE"/>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3">
        <w:r>
          <w:rPr>
            <w:rStyle w:val="Hyperlink"/>
          </w:rPr>
          <w:t xml:space="preserve">https://www.iea.org/reports/net-zero-roadmap-a-global-pathway-to-keep-the-15-c-goal-in-reach</w:t>
        </w:r>
      </w:hyperlink>
    </w:p>
    <w:bookmarkEnd w:id="164"/>
    <w:bookmarkStart w:id="166" w:name="ref-EHPA2023scop"/>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5">
        <w:r>
          <w:rPr>
            <w:rStyle w:val="Hyperlink"/>
          </w:rPr>
          <w:t xml:space="preserve">https://www.ehpa.org/market-data/</w:t>
        </w:r>
      </w:hyperlink>
    </w:p>
    <w:bookmarkEnd w:id="166"/>
    <w:bookmarkStart w:id="168" w:name="ref-Lord2014GeologicStorag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67">
        <w:r>
          <w:rPr>
            <w:rStyle w:val="Hyperlink"/>
          </w:rPr>
          <w:t xml:space="preserve">10.1016/j.ijhydene.2014.07.121</w:t>
        </w:r>
      </w:hyperlink>
      <w:r>
        <w:rPr>
          <w:rFonts w:ascii="Times New Roman" w:hAnsi="Times New Roman"/>
          <w:sz w:val="24"/>
        </w:rPr>
        <w:t xml:space="preserve">.</w:t>
      </w:r>
    </w:p>
    <w:bookmarkEnd w:id="168"/>
    <w:bookmarkStart w:id="170" w:name="ref-Papadias2021BulkStorage"/>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9">
        <w:r>
          <w:rPr>
            <w:rStyle w:val="Hyperlink"/>
          </w:rPr>
          <w:t xml:space="preserve">10.1016/j.ijhydene.2021.08.028</w:t>
        </w:r>
      </w:hyperlink>
      <w:r>
        <w:rPr>
          <w:rFonts w:ascii="Times New Roman" w:hAnsi="Times New Roman"/>
          <w:sz w:val="24"/>
        </w:rPr>
        <w:t xml:space="preserve">.</w:t>
      </w:r>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Staffell2016Wind"/>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6">
        <w:r>
          <w:rPr>
            <w:rStyle w:val="Hyperlink"/>
          </w:rPr>
          <w:t xml:space="preserve">10.1016/j.energy.2016.08.068</w:t>
        </w:r>
      </w:hyperlink>
      <w:r>
        <w:rPr>
          <w:rFonts w:ascii="Times New Roman" w:hAnsi="Times New Roman"/>
          <w:sz w:val="24"/>
        </w:rPr>
        <w:t xml:space="preserve">.</w:t>
      </w:r>
    </w:p>
    <w:bookmarkEnd w:id="187"/>
    <w:bookmarkStart w:id="189" w:name="ref-Pfenninger2016Solar"/>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88">
        <w:r>
          <w:rPr>
            <w:rStyle w:val="Hyperlink"/>
          </w:rPr>
          <w:t xml:space="preserve">10.1016/j.energy.2016.08.060</w:t>
        </w:r>
      </w:hyperlink>
      <w:r>
        <w:rPr>
          <w:rFonts w:ascii="Times New Roman" w:hAnsi="Times New Roman"/>
          <w:sz w:val="24"/>
        </w:rPr>
        <w:t xml:space="preserve">.</w:t>
      </w:r>
    </w:p>
    <w:bookmarkEnd w:id="189"/>
    <w:bookmarkStart w:id="191" w:name="ref-Kittel2026Dunkelflaute"/>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90">
        <w:r>
          <w:rPr>
            <w:rStyle w:val="Hyperlink"/>
          </w:rPr>
          <w:t xml:space="preserve">10.1038/s41467-026-72681-5</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2026-08-10T02:25:44Z</dcterms:created>
  <dcterms:modified xsi:type="dcterms:W3CDTF">2026-08-10T02:25:44Z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