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Heat pumps beat hydrogen on 2050 base-load heat cost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tested market fully recovers hydrogen-peaker capital from energy-only rents</w:t>
      </w:r>
    </w:p>
    <w:p>
      <w:pPr>
        <w:spacing w:line="480" w:lineRule="auto"/>
        <w:jc w:val="left"/>
      </w:pPr>
      <w:r>
        <w:rPr>
          <w:rFonts w:ascii="Times New Roman" w:hAnsi="Times New Roman"/>
          <w:b w:val="0"/>
          <w:i w:val="0"/>
          <w:sz w:val="24"/>
        </w:rPr>
        <w:t>• At €600/kW turbine capital cost, technology-neutral support favours gas</w:t>
      </w:r>
    </w:p>
    <w:p>
      <w:pPr>
        <w:spacing w:line="480" w:lineRule="auto"/>
        <w:jc w:val="left"/>
      </w:pPr>
      <w:r>
        <w:rPr>
          <w:rFonts w:ascii="Times New Roman" w:hAnsi="Times New Roman"/>
          <w:b w:val="0"/>
          <w:i w:val="0"/>
          <w:sz w:val="24"/>
        </w:rPr>
        <w:t>• Scenario ambition shifts 2050 residential-heating emissions by 342 MtCO₂/yr</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Hydrogen for European residential heating is usually assessed at national resolution or imposed as an adoption share, and neither approach tests whether peak-serving assets recover capital market by market. We reconstruct heat demand across 1,369 NUTS3 regions in 29 markets, aggregating to the country before each test, over 200 draws per scenario. Four policy scenarios impose exogenous hydrogen-adoption settings, which we compare with separately derived winter-peak dispatch support. Hydrogen is tested in three roles: annual levelised cost, cold-snap dispatch across buildings, district heat and power, and peaker capital recovery. Each carrier pays its own last mile. At central 2050 parameters the best heat pump delivers at €118.5/MWh against €122.8 for a hydrogen boiler and €132.7 for gas, beating hydrogen in 22 of 29 markets on the pro-rata firm-capacity basis, 19 then 17 on cost causation, and varying from 13 to 29 across the hydrogen price paths. On the high carbon path and equal-efficiency series, hydrogen undercuts gas at the power peak in a different seven, all salt-cavern markets. No modelled market reaches full peaker capital recovery over the €30 to 120/MWh scarcity premiums tested, and capacity-weighted recovery among the five that build is about 9%. With the hydrogen-ready turbine at €600/kW, technology-neutral support favours gas, and selecting hydrogen needs an emissions-conditioned premium of about €172/tCO₂ of displaced gas. Operational residential-heating emissions fall from 644 MtCO₂ in 2025 to between 10 and 352 by 2050. Power-sector quantities rest on one constructed weather year and are screening results, not adequacy estimates.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 Hydrogen last-mile distribution adder in country</w:t>
      </w:r>
      <w:r>
        <w:rPr>
          <w:rFonts w:ascii="Times New Roman" w:hAnsi="Times New Roman"/>
          <w:sz w:val="24"/>
        </w:rPr>
        <w:t xml:space="preserve"> </w:t>
      </w:r>
      <m:oMath>
        <m:r>
          <m:t>c</m:t>
        </m:r>
      </m:oMath>
      <w:r>
        <w:rPr>
          <w:rFonts w:ascii="Times New Roman" w:hAnsi="Times New Roman"/>
          <w:sz w:val="24"/>
        </w:rPr>
        <w:t xml:space="preserve">, charged in the symmetric accounting (median €13.4/MWh)</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This study therefore asks under what conditions, and where, decarbonised hydrogen is competitive against heat-pump electrification in the buildings of the EU-27, the United Kingdom and Switzerland by 2050. Against those strands it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from NUTS3 building stock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 Adopting them narrows the heat pump’s margin without reversing the median ordering. However, 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Repriced on the short-run marginal cost (SRMC) a system</w:t>
      </w:r>
      <w:r>
        <w:rPr>
          <w:rFonts w:ascii="Times New Roman" w:hAnsi="Times New Roman"/>
          <w:sz w:val="24"/>
        </w:rPr>
        <w:t xml:space="preserve"> </w:t>
      </w:r>
      <w:r>
        <w:rPr>
          <w:rFonts w:ascii="Times New Roman" w:hAnsi="Times New Roman"/>
          <w:sz w:val="24"/>
        </w:rPr>
        <w:t xml:space="preserve">operator uses, hydrogen wins the cold-snap peak in a minority of markets that grows with</w:t>
      </w:r>
      <w:r>
        <w:rPr>
          <w:rFonts w:ascii="Times New Roman" w:hAnsi="Times New Roman"/>
          <w:sz w:val="24"/>
        </w:rPr>
        <w:t xml:space="preserve"> </w:t>
      </w:r>
      <w:r>
        <w:rPr>
          <w:rFonts w:ascii="Times New Roman" w:hAnsi="Times New Roman"/>
          <w:sz w:val="24"/>
        </w:rPr>
        <w:t xml:space="preserve">policy ambition, and no market recovers that peaker’s capital, the classic missing-money</w:t>
      </w:r>
      <w:r>
        <w:rPr>
          <w:rFonts w:ascii="Times New Roman" w:hAnsi="Times New Roman"/>
          <w:sz w:val="24"/>
        </w:rPr>
        <w:t xml:space="preserve"> </w:t>
      </w:r>
      <w:r>
        <w:rPr>
          <w:rFonts w:ascii="Times New Roman" w:hAnsi="Times New Roman"/>
          <w:sz w:val="24"/>
        </w:rPr>
        <w:t xml:space="preserve">problem.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[38], [39]</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tests address distinct operating roles, so a technology may lose the annual comparison and still compete at a cold-snap peak. The first two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[40]</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[41], [42]</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[43]</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 to 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annualised over the heat that capacity delivers, on the reasoning that a household buys a boiler for its coldest day rather than its average one, so efficiency changes the fuel bill and not the purchase price. This is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[45], [46]</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[47]</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[49], [50]</w:t>
      </w:r>
      <w:r>
        <w:rPr>
          <w:rFonts w:ascii="Times New Roman" w:hAnsi="Times New Roman"/>
          <w:sz w:val="24"/>
        </w:rPr>
        <w:t xml:space="preserve">.</w:t>
      </w:r>
    </w:p>
    <w:p>
      <w:pPr>
        <w:pStyle w:val="BodyText"/>
      </w:pPr>
      <w:r>
        <w:rPr>
          <w:rFonts w:ascii="Times New Roman" w:hAnsi="Times New Roman"/>
          <w:sz w:val="24"/>
        </w:rPr>
        <w:t xml:space="preserve">An operational CO</w:t>
      </w:r>
      <w:r>
        <w:rPr>
          <w:vertAlign w:val="subscript"/>
        </w:rPr>
        <w:t xml:space="preserve">2</w:t>
      </w:r>
      <w:r>
        <w:rPr>
          <w:rFonts w:ascii="Times New Roman" w:hAnsi="Times New Roman"/>
          <w:sz w:val="24"/>
        </w:rPr>
        <w:t xml:space="preserve"> </w:t>
      </w:r>
      <w:r>
        <w:rPr>
          <w:rFonts w:ascii="Times New Roman" w:hAnsi="Times New Roman"/>
          <w:sz w:val="24"/>
        </w:rPr>
        <w:t xml:space="preserve">inventory runs alongside the cost layer on the same technology split, combining direct combustion with attributed electricity and district-heat generation intensities and excluding upstream, infrastructure and embodied emissions. It charges</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[52], [53]</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leaving the hydrogen route roughly 2.7 times the delivery charge of the electric one before any fuel cost enters.</w:t>
      </w:r>
    </w:p>
    <w:p>
      <w:pPr>
        <w:pStyle w:val="BodyText"/>
      </w:pPr>
      <w:r>
        <w:rPr>
          <w:rFonts w:ascii="Times New Roman" w:hAnsi="Times New Roman"/>
          <w:sz w:val="24"/>
        </w:rPr>
        <w:t xml:space="preserve">Within each draw the observed 2025 country shares are interpolated to the sampled 2050 heat-pump, district-heat, hydrogen and fossil targets using sampled power-law uptake exponents, with NUTS3 feasibility factors scaling the heat-pump and district-heat targets. Among the non-fossil options a cost-responsive component then reallocates share on softmax weights</w:t>
      </w:r>
      <w:r>
        <w:rPr>
          <w:rFonts w:ascii="Times New Roman" w:hAnsi="Times New Roman"/>
          <w:sz w:val="24"/>
        </w:rPr>
        <w:t xml:space="preserve"> </w:t>
      </w:r>
      <m:oMath>
        <m:sSub>
          <m:e>
            <m:r>
              <m:t>w</m:t>
            </m:r>
          </m:e>
          <m:sub>
            <m:r>
              <m:t>i</m:t>
            </m:r>
            <m:r>
              <m:rPr>
                <m:sty m:val="p"/>
              </m:rPr>
              <m:t>,</m:t>
            </m:r>
            <m:r>
              <m:t>c</m:t>
            </m:r>
            <m:r>
              <m:rPr>
                <m:sty m:val="p"/>
              </m:rPr>
              <m:t>,</m:t>
            </m:r>
            <m:r>
              <m:t>t</m:t>
            </m:r>
          </m:sub>
        </m:sSub>
        <m:r>
          <m:rPr>
            <m:sty m:val="p"/>
          </m:rPr>
          <m:t>=exp(−</m:t>
        </m:r>
        <m:sSub>
          <m:e>
            <m:r>
              <m:rPr>
                <m:sty m:val="p"/>
              </m:rPr>
              <m:t>LCOH</m:t>
            </m:r>
          </m:e>
          <m:sub>
            <m:r>
              <m:t>i</m:t>
            </m:r>
            <m:r>
              <m:rPr>
                <m:sty m:val="p"/>
              </m:rPr>
              <m:t>,</m:t>
            </m:r>
            <m:r>
              <m:t>c</m:t>
            </m:r>
            <m:r>
              <m:rPr>
                <m:sty m:val="p"/>
              </m:rPr>
              <m:t>,</m:t>
            </m:r>
            <m:r>
              <m:t>t</m:t>
            </m:r>
          </m:sub>
        </m:sSub>
        <m:r>
          <m:rPr>
            <m:sty m:val="p"/>
          </m:rPr>
          <m:t>/</m:t>
        </m:r>
        <m:r>
          <m:t>T</m:t>
        </m:r>
        <m:r>
          <m:rPr>
            <m:sty m:val="p"/>
          </m:rPr>
          <m:t>)/</m:t>
        </m:r>
        <m:nary>
          <m:naryPr>
            <m:chr m:val="∑"/>
            <m:limLoc m:val="undOvr"/>
            <m:subHide m:val="off"/>
            <m:supHide m:val="on"/>
          </m:naryPr>
          <m:sub>
            <m:r>
              <m:t>j</m:t>
            </m:r>
          </m:sub>
          <m:sup>
            <m:r>
              <m:t>​</m:t>
            </m:r>
          </m:sup>
          <m:e>
            <m:r>
              <m:rPr>
                <m:sty m:val="p"/>
              </m:rPr>
              <m:t>exp</m:t>
            </m:r>
          </m:e>
        </m:nary>
        <m:r>
          <m:rPr>
            <m:sty m:val="p"/>
          </m:rPr>
          <m:t>(−</m:t>
        </m:r>
        <m:sSub>
          <m:e>
            <m:r>
              <m:rPr>
                <m:sty m:val="p"/>
              </m:rPr>
              <m:t>LCOH</m:t>
            </m:r>
          </m:e>
          <m:sub>
            <m:r>
              <m:t>j</m:t>
            </m:r>
            <m:r>
              <m:rPr>
                <m:sty m:val="p"/>
              </m:rPr>
              <m:t>,</m:t>
            </m:r>
            <m:r>
              <m:t>c</m:t>
            </m:r>
            <m:r>
              <m:rPr>
                <m:sty m:val="p"/>
              </m:rPr>
              <m:t>,</m:t>
            </m:r>
            <m:r>
              <m:t>t</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set to €50/MWh, blended in on a weight rising linearly from zero in 2025 to 0.50 in 2050. Fossil shares stay policy-defined. Hydrogen is capped at its drawn adoption target and any excess goes first to heat pumps within feasibility and then to district heat. This is a heuristic scenario-allocation rule rather than an estimated choice model or a system-cost optimum (Supplementary Section S1.5).</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m:t>
                </m:r>
                <m:sSubSup>
                  <m:e>
                    <m:r>
                      <m:t>a</m:t>
                    </m:r>
                  </m:e>
                  <m:sub>
                    <m:r>
                      <m:t>c</m:t>
                    </m:r>
                  </m:sub>
                  <m:sup>
                    <m:sSub>
                      <m:e>
                        <m:r>
                          <m:rPr>
                            <m:sty m:val="p"/>
                          </m:rPr>
                          <m:t>H</m:t>
                        </m:r>
                      </m:e>
                      <m:sub>
                        <m:r>
                          <m:rPr>
                            <m:sty m:val="p"/>
                          </m:rPr>
                          <m:t>2</m:t>
                        </m:r>
                      </m:sub>
                    </m:sSub>
                    <m:r>
                      <m:rPr>
                        <m:sty m:val="p"/>
                      </m:rPr>
                      <m:t>,dist</m:t>
                    </m:r>
                  </m:sup>
                </m:sSubSup>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m:oMath>
        <m:sSubSup>
          <m:e>
            <m:r>
              <m:t>a</m:t>
            </m:r>
          </m:e>
          <m:sub>
            <m:r>
              <m:t>c</m:t>
            </m:r>
          </m:sub>
          <m:sup>
            <m:sSub>
              <m:e>
                <m:r>
                  <m:rPr>
                    <m:sty m:val="p"/>
                  </m:rPr>
                  <m:t>H</m:t>
                </m:r>
              </m:e>
              <m:sub>
                <m:r>
                  <m:rPr>
                    <m:sty m:val="p"/>
                  </m:rPr>
                  <m:t>2</m:t>
                </m:r>
              </m:sub>
            </m:sSub>
            <m:r>
              <m:rPr>
                <m:sty m:val="p"/>
              </m:rPr>
              <m:t>,dist</m:t>
            </m:r>
          </m:sup>
        </m:sSubSup>
      </m:oMath>
      <w:r>
        <w:rPr>
          <w:rFonts w:ascii="Times New Roman" w:hAnsi="Times New Roman"/>
          <w:sz w:val="24"/>
        </w:rPr>
        <w:t xml:space="preserve"> </w:t>
      </w:r>
      <w:r>
        <w:rPr>
          <w:rFonts w:ascii="Times New Roman" w:hAnsi="Times New Roman"/>
          <w:sz w:val="24"/>
        </w:rPr>
        <w:t xml:space="preserve">the hydrogen last-mile distribution adder the symmetric accounting charges, 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 caverns and €100 without, the two ends spanning the cavern and above-ground rates reported in the bulk-storage literature</w:t>
      </w:r>
      <w:r>
        <w:rPr>
          <w:rFonts w:ascii="Times New Roman" w:hAnsi="Times New Roman"/>
          <w:sz w:val="24"/>
        </w:rPr>
        <w:t xml:space="preserve"> </w:t>
      </w:r>
      <w:r>
        <w:rPr>
          <w:rFonts w:ascii="Times New Roman" w:hAnsi="Times New Roman"/>
          <w:sz w:val="24"/>
        </w:rPr>
        <w:t xml:space="preserve">[54], [55]</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eight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Eight exogenous levers per scenario,</w:t>
      </w:r>
      <w:r>
        <w:rPr>
          <w:rFonts w:ascii="Times New Roman" w:hAnsi="Times New Roman"/>
          <w:sz w:val="24"/>
        </w:rPr>
        <w:t xml:space="preserve"> </w:t>
      </w:r>
      <w:r>
        <w:rPr>
          <w:rFonts w:ascii="Times New Roman" w:hAnsi="Times New Roman"/>
          <w:sz w:val="24"/>
        </w:rPr>
        <w:t xml:space="preserve">with 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Heat-pump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50%</w:t>
            </w:r>
          </w:p>
        </w:tc>
        <w:tc>
          <w:tcPr>
            <w:tcW w:type="dxa" w:w="1440"/>
          </w:tcPr>
          <w:p>
            <w:pPr>
              <w:keepNext/>
              <w:spacing w:line="240" w:lineRule="auto" w:after="0"/>
              <w:jc w:val="center"/>
            </w:pPr>
            <w:r>
              <w:rPr>
                <w:rFonts w:ascii="Times New Roman" w:hAnsi="Times New Roman"/>
                <w:b w:val="0"/>
                <w:i w:val="0"/>
                <w:sz w:val="20"/>
              </w:rPr>
              <w:t>62%</w:t>
            </w:r>
          </w:p>
        </w:tc>
        <w:tc>
          <w:tcPr>
            <w:tcW w:type="dxa" w:w="1440"/>
          </w:tcPr>
          <w:p>
            <w:pPr>
              <w:keepNext/>
              <w:spacing w:line="240" w:lineRule="auto" w:after="0"/>
              <w:jc w:val="center"/>
            </w:pPr>
            <w:r>
              <w:rPr>
                <w:rFonts w:ascii="Times New Roman" w:hAnsi="Times New Roman"/>
                <w:b w:val="0"/>
                <w:i w:val="0"/>
                <w:sz w:val="20"/>
              </w:rPr>
              <w:t>46%</w:t>
            </w:r>
          </w:p>
        </w:tc>
      </w:tr>
      <w:tr>
        <w:trPr>
          <w:cantSplit/>
        </w:trPr>
        <w:tc>
          <w:tcPr>
            <w:tcW w:type="dxa" w:w="3600"/>
          </w:tcPr>
          <w:p>
            <w:pPr>
              <w:keepNext/>
              <w:spacing w:line="240" w:lineRule="auto" w:after="0"/>
              <w:jc w:val="left"/>
            </w:pPr>
            <w:r>
              <w:rPr>
                <w:rFonts w:ascii="Times New Roman" w:hAnsi="Times New Roman"/>
                <w:b w:val="0"/>
                <w:i w:val="0"/>
                <w:sz w:val="20"/>
              </w:rPr>
              <w:t>District-heat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16%</w:t>
            </w:r>
          </w:p>
        </w:tc>
        <w:tc>
          <w:tcPr>
            <w:tcW w:type="dxa" w:w="1440"/>
          </w:tcPr>
          <w:p>
            <w:pPr>
              <w:keepNext/>
              <w:spacing w:line="240" w:lineRule="auto" w:after="0"/>
              <w:jc w:val="center"/>
            </w:pPr>
            <w:r>
              <w:rPr>
                <w:rFonts w:ascii="Times New Roman" w:hAnsi="Times New Roman"/>
                <w:b w:val="0"/>
                <w:i w:val="0"/>
                <w:sz w:val="20"/>
              </w:rPr>
              <w:t>18%</w:t>
            </w:r>
          </w:p>
        </w:tc>
        <w:tc>
          <w:tcPr>
            <w:tcW w:type="dxa" w:w="1440"/>
          </w:tcPr>
          <w:p>
            <w:pPr>
              <w:keepNext/>
              <w:spacing w:line="240" w:lineRule="auto" w:after="0"/>
              <w:jc w:val="center"/>
            </w:pPr>
            <w:r>
              <w:rPr>
                <w:rFonts w:ascii="Times New Roman" w:hAnsi="Times New Roman"/>
                <w:b w:val="0"/>
                <w:i w:val="0"/>
                <w:sz w:val="20"/>
              </w:rPr>
              <w:t>22%</w:t>
            </w:r>
          </w:p>
        </w:tc>
        <w:tc>
          <w:tcPr>
            <w:tcW w:type="dxa" w:w="1440"/>
          </w:tcPr>
          <w:p>
            <w:pPr>
              <w:keepNext/>
              <w:spacing w:line="240" w:lineRule="auto" w:after="0"/>
              <w:jc w:val="center"/>
            </w:pPr>
            <w:r>
              <w:rPr>
                <w:rFonts w:ascii="Times New Roman" w:hAnsi="Times New Roman"/>
                <w:b w:val="0"/>
                <w:i w:val="0"/>
                <w:sz w:val="20"/>
              </w:rPr>
              <w:t>20%</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diagnostic; not a lever and not used to set adoption</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the fuel, hydrogen and carbon paths, the discount rate, ETS2 pass-through, the 2050 share settings and heat-pump feasibility, under a cross-country shock correlation of 0.5 on renovation and 0.75 on fuel prices, set higher on prices because European gas and electricity markets clear against shared hubs whereas renovation policy is delivered nationally, and reported at the 10th, 50th and 90th percentiles. Equipment capital and performance are swept instead. A variance-based Sobol screen ranks the four demand drivers, and a regression-based global screen using standardised rank-regression coefficients ranks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addressing distinct operating roles, so a peaking win does not overturn a base-load loss.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However,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per cent, root-mean-square</w:t>
      </w:r>
      <w:r>
        <w:rPr>
          <w:rFonts w:ascii="Times New Roman" w:hAnsi="Times New Roman"/>
          <w:sz w:val="24"/>
        </w:rPr>
        <w:t xml:space="preserve"> </w:t>
      </w:r>
      <w:r>
        <w:t xml:space="preserve">14.4</w:t>
      </w:r>
      <w:r>
        <w:rPr>
          <w:rFonts w:ascii="Times New Roman" w:hAnsi="Times New Roman"/>
          <w:sz w:val="24"/>
        </w:rPr>
        <w:t xml:space="preserve"> per cent and median</w:t>
      </w:r>
      <w:r>
        <w:rPr>
          <w:rFonts w:ascii="Times New Roman" w:hAnsi="Times New Roman"/>
          <w:sz w:val="24"/>
        </w:rPr>
        <w:t xml:space="preserve"> </w:t>
      </w:r>
      <w:r>
        <w:t xml:space="preserve">8.5</w:t>
      </w:r>
      <w:r>
        <w:rPr>
          <w:rFonts w:ascii="Times New Roman" w:hAnsi="Times New Roman"/>
          <w:sz w:val="24"/>
        </w:rPr>
        <w:t xml:space="preserve"> per cent. In addition,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everything after it runs on country parameters, so no cost ordering is resolved beneath it.</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against existing-fleet seasonal COPs of 2.8 to 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whereas the 2025 demand-weighted mean is only</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[54], [55],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the 2050 power merit order in Denmark under H2 Push, and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the markets in which hydrogen undercuts the gas peaker. The levelised-cost test prices hydrogen as a base-load supplier, whereas its advocates cast it as a peaker serving only the cold-snap tip, when the air-source COP collapses. We therefore reprice it on SRMC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 sector’s merit order, averaging €215 to 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 sector under H2 Push;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gives dispatch-supported potentials of 0, 0.6, 7.5 and 9.0 per cent of study-area residential heat under the four scenarios respectively. These are compared with, rather than imposed on, the exogenous adoption settings of 0, 5, 3 and 8 per cent. The largest mismatch is under Stated Policies, whose setting exceeds its dispatch-supported potential by 4.4 percentage points, compared with 0, 5.1, 7.9 and 9.3 on the asymmetric accounting.</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€30/MWh-e above the carbon-priced gas peaker at €256/MWh-e, so gas remains the cheaper firm unit in the typical market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By contrast, on the evolving-efficiency series the medians close to €238 against €239/MWh-e and the undercut count rises to 15, or 8 without the backbone 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deplete over a multi-day event, so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r>
                      <m:rPr>
                        <m:sty m:val="p"/>
                      </m:rPr>
                      <m:t>/</m:t>
                    </m:r>
                    <m:r>
                      <m:t>1000</m:t>
                    </m:r>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Dividing by 1</w:t>
      </w:r>
      <w:r>
        <w:rPr>
          <w:rFonts w:ascii="Times New Roman" w:hAnsi="Times New Roman"/>
          <w:sz w:val="24"/>
        </w:rPr>
        <w:t xml:space="preserve">,</w:t>
      </w:r>
      <w:r>
        <w:rPr>
          <w:rFonts w:ascii="Times New Roman" w:hAnsi="Times New Roman"/>
          <w:sz w:val="24"/>
        </w:rPr>
        <w:t xml:space="preserve">000 converts one kW</w:t>
      </w:r>
      <w:r>
        <w:rPr>
          <w:rFonts w:ascii="Times New Roman" w:hAnsi="Times New Roman"/>
          <w:sz w:val="24"/>
        </w:rPr>
        <w:t xml:space="preserve"> </w:t>
      </w:r>
      <w:r>
        <w:rPr>
          <w:rFonts w:ascii="Times New Roman" w:hAnsi="Times New Roman"/>
          <w:sz w:val="24"/>
        </w:rPr>
        <w:t xml:space="preserve">running</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hours into MWh, so that a numerator in €/kW meets a</w:t>
      </w:r>
      <w:r>
        <w:rPr>
          <w:rFonts w:ascii="Times New Roman" w:hAnsi="Times New Roman"/>
          <w:sz w:val="24"/>
        </w:rPr>
        <w:t xml:space="preserve"> </w:t>
      </w:r>
      <w:r>
        <w:rPr>
          <w:rFonts w:ascii="Times New Roman" w:hAnsi="Times New Roman"/>
          <w:sz w:val="24"/>
        </w:rPr>
        <w:t xml:space="preserve">denominator in €/kW-yr.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recovers its annualised capital charge even where its operating cost wins the cold snap. That shortfall, rather than its size, is the robust 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 modelled country or scenario reaches the 100 per cent private finance requires over the €30 to 120/MWh scarcity premiums tested,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 dispatches the fleet at 160 full-load hours on 2.8 GW more capacity, compared with the 139 hours quoted throughout, because ramp and minimum-output limits push residual load onto the peakers. However, the extra hours earn more rent, so the cross-check cuts 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 550 gCO</w:t>
      </w:r>
      <w:r>
        <w:rPr>
          <w:vertAlign w:val="subscript"/>
        </w:rPr>
        <w:t xml:space="preserve">2</w:t>
      </w:r>
      <w:r>
        <w:rPr>
          <w:rFonts w:ascii="Times New Roman" w:hAnsi="Times New Roman"/>
          <w:sz w:val="24"/>
        </w:rPr>
        <w:t xml:space="preserve">/kWh-e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with the hydrogen-ready turbine at</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against €450/kW for gas, a technology-neutral mechanism procures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 to 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The 52.9 per cent district-heat share is the least-cost solution conditional on excluding new-connection costs, and not an unconstrained system optimum.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varies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so ambition is cheap in this program.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market count is the least robust of the three, ranging from 13 to 29 markets across the hydrogen price paths sampled. That sensitivity turns in part on a fiscal asymmetry that policy could remove. The capital-recovery result is the most robust, resting on the arithmetic of a 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shortfall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 hydrogen as a system operator does. The three tests point the same way about hydrogen’s scope, though all three price it through one storage parameter, €1.5/kg with salt caverns and €3.0/kg without, so the agreement is less independent than three tests would suggest. Holding it common is what makes the three comparable.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 count behind them runs from 13 to 29 across the hydrogen price paths sampled, and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 hydrogen realistically supplied to heat would be blue, at about €81/MWh on the route 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which closes all seven. Levelling the carriers’ fiscal treatment would move the comparison the same way, by an amount beyond the scope of this study.</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w:t>
      </w:r>
    </w:p>
    <w:p>
      <w:pPr>
        <w:pStyle w:val="BodyText"/>
      </w:pPr>
      <w:r>
        <w:rPr>
          <w:rFonts w:ascii="Times New Roman" w:hAnsi="Times New Roman"/>
          <w:sz w:val="24"/>
        </w:rPr>
        <w:t xml:space="preserve">(4) Policy ambition sets the emissions outcome, the four scenarios reaching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from a 2025 baseline of about 644 MtCO</w:t>
      </w:r>
      <w:r>
        <w:rPr>
          <w:vertAlign w:val="subscript"/>
        </w:rPr>
        <w:t xml:space="preserve">2</w:t>
      </w:r>
      <w:r>
        <w:rPr>
          <w:rFonts w:ascii="Times New Roman" w:hAnsi="Times New Roman"/>
          <w:sz w:val="24"/>
        </w:rPr>
        <w:t xml:space="preserve">, a spread the fossil-phaseout lever leads.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private investor is made whole and a technology-neutral mechanism procures unabated gas at the capex assumed here, so a payment conditioned on emissions is what selects hydrogen. Those figures allow a capacity-mechanism designer to evaluate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8" w:name="ref-Gabrielli2020"/>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28"/>
    <w:bookmarkStart w:id="130" w:name="ref-IEA2023switzerland"/>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29">
        <w:r>
          <w:rPr>
            <w:rStyle w:val="Hyperlink"/>
          </w:rPr>
          <w:t xml:space="preserve">https://www.iea.org/reports/switzerland-2023</w:t>
        </w:r>
      </w:hyperlink>
    </w:p>
    <w:bookmarkEnd w:id="130"/>
    <w:bookmarkStart w:id="132" w:name="ref-Hotmaps2020"/>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1">
        <w:r>
          <w:rPr>
            <w:rStyle w:val="Hyperlink"/>
          </w:rPr>
          <w:t xml:space="preserve">https://gitlab.com/hotmaps/regional_demand</w:t>
        </w:r>
      </w:hyperlink>
    </w:p>
    <w:bookmarkEnd w:id="132"/>
    <w:bookmarkStart w:id="134" w:name="ref-Eurostat2021census"/>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3">
        <w:r>
          <w:rPr>
            <w:rStyle w:val="Hyperlink"/>
          </w:rPr>
          <w:t xml:space="preserve">https://ec.europa.eu/eurostat/databrowser/view/CENS_21DWBNO_R3</w:t>
        </w:r>
      </w:hyperlink>
    </w:p>
    <w:bookmarkEnd w:id="134"/>
    <w:bookmarkStart w:id="136" w:name="ref-ONS2021TS044"/>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5">
        <w:r>
          <w:rPr>
            <w:rStyle w:val="Hyperlink"/>
          </w:rPr>
          <w:t xml:space="preserve">https://www.ons.gov.uk/datasets/TS044/editions/2021</w:t>
        </w:r>
      </w:hyperlink>
    </w:p>
    <w:bookmarkEnd w:id="136"/>
    <w:bookmarkStart w:id="138" w:name="ref-EurostatGISCO2021"/>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7">
        <w:r>
          <w:rPr>
            <w:rStyle w:val="Hyperlink"/>
          </w:rPr>
          <w:t xml:space="preserve">https://gisco-services.ec.europa.eu/distribution/v2/nuts/</w:t>
        </w:r>
      </w:hyperlink>
    </w:p>
    <w:bookmarkEnd w:id="138"/>
    <w:bookmarkStart w:id="140" w:name="ref-DEA2023technology"/>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39">
        <w:r>
          <w:rPr>
            <w:rStyle w:val="Hyperlink"/>
          </w:rPr>
          <w:t xml:space="preserve">https://ens.dk/en/our-services/projections-and-models/technology-data</w:t>
        </w:r>
      </w:hyperlink>
    </w:p>
    <w:bookmarkEnd w:id="140"/>
    <w:bookmarkStart w:id="142" w:name="ref-JRC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1">
        <w:r>
          <w:rPr>
            <w:rStyle w:val="Hyperlink"/>
          </w:rPr>
          <w:t xml:space="preserve">https://publications.jrc.ec.europa.eu/repository/bitstream/JRC109006/kjna28859enn.pdf</w:t>
        </w:r>
      </w:hyperlink>
    </w:p>
    <w:bookmarkEnd w:id="142"/>
    <w:bookmarkStart w:id="144" w:name="ref-IRENA2022heatpumpcosts"/>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3">
        <w:r>
          <w:rPr>
            <w:rStyle w:val="Hyperlink"/>
          </w:rPr>
          <w:t xml:space="preserve">https://www.irena.org/-/media/Files/IRENA/Agency/Publication/2022/Nov/IRENA_Heat_Pumps_Costs_Markets_2022.pdf</w:t>
        </w:r>
      </w:hyperlink>
    </w:p>
    <w:bookmarkEnd w:id="144"/>
    <w:bookmarkStart w:id="146" w:name="ref-EuropeanCommission2024ETS2"/>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5">
        <w:r>
          <w:rPr>
            <w:rStyle w:val="Hyperlink"/>
          </w:rPr>
          <w:t xml:space="preserve">https://climate.ec.europa.eu/eu-action/eu-emissions-trading-system-eu-ets/ets2-buildings-road-transport-and-additional-sectors_en</w:t>
        </w:r>
      </w:hyperlink>
    </w:p>
    <w:bookmarkEnd w:id="146"/>
    <w:bookmarkStart w:id="148" w:name="ref-EHO2024hydrogencosts"/>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7">
        <w:r>
          <w:rPr>
            <w:rStyle w:val="Hyperlink"/>
          </w:rPr>
          <w:t xml:space="preserve">https://observatory.clean-hydrogen.europa.eu/hydrogen-landscape/production-trade-and-cost/cost-hydrogen-production</w:t>
        </w:r>
      </w:hyperlink>
    </w:p>
    <w:bookmarkEnd w:id="148"/>
    <w:bookmarkStart w:id="150" w:name="ref-Eurostat2025electricityprice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49">
        <w:r>
          <w:rPr>
            <w:rStyle w:val="Hyperlink"/>
          </w:rPr>
          <w:t xml:space="preserve">https://ec.europa.eu/eurostat/statistics-explained/index.php?title=Electricity_price_statistics</w:t>
        </w:r>
      </w:hyperlink>
    </w:p>
    <w:bookmarkEnd w:id="150"/>
    <w:bookmarkStart w:id="152" w:name="ref-Eurostat2025gas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https://ec.europa.eu/eurostat/statistics-explained/index.php/Natural_gas_price_statistics</w:t>
        </w:r>
      </w:hyperlink>
    </w:p>
    <w:bookmarkEnd w:id="152"/>
    <w:bookmarkStart w:id="154" w:name="ref-Calvin2023Ipcc"/>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3">
        <w:r>
          <w:rPr>
            <w:rStyle w:val="Hyperlink"/>
          </w:rPr>
          <w:t xml:space="preserve">10.59327/ipcc/ar6-9789291691647</w:t>
        </w:r>
      </w:hyperlink>
      <w:r>
        <w:rPr>
          <w:rFonts w:ascii="Times New Roman" w:hAnsi="Times New Roman"/>
          <w:sz w:val="24"/>
        </w:rPr>
        <w:t xml:space="preserve">.</w:t>
      </w:r>
    </w:p>
    <w:bookmarkEnd w:id="154"/>
    <w:bookmarkStart w:id="156" w:name="ref-EMBER2024electricity"/>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5">
        <w:r>
          <w:rPr>
            <w:rStyle w:val="Hyperlink"/>
          </w:rPr>
          <w:t xml:space="preserve">https://ember-energy.org/latest-insights/european-electricity-review-2024/</w:t>
        </w:r>
      </w:hyperlink>
    </w:p>
    <w:bookmarkEnd w:id="156"/>
    <w:bookmarkStart w:id="158" w:name="ref-EEA2024gridintens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7">
        <w:r>
          <w:rPr>
            <w:rStyle w:val="Hyperlink"/>
          </w:rPr>
          <w:t xml:space="preserve">https://www.eea.europa.eu/data-and-maps/indicators/overview-of-the-electricity-production-3/assessment</w:t>
        </w:r>
      </w:hyperlink>
    </w:p>
    <w:bookmarkEnd w:id="158"/>
    <w:bookmarkStart w:id="160" w:name="ref-Lord2014GeologicStorage"/>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59">
        <w:r>
          <w:rPr>
            <w:rStyle w:val="Hyperlink"/>
          </w:rPr>
          <w:t xml:space="preserve">10.1016/j.ijhydene.2014.07.121</w:t>
        </w:r>
      </w:hyperlink>
      <w:r>
        <w:rPr>
          <w:rFonts w:ascii="Times New Roman" w:hAnsi="Times New Roman"/>
          <w:sz w:val="24"/>
        </w:rPr>
        <w:t xml:space="preserve">.</w:t>
      </w:r>
    </w:p>
    <w:bookmarkEnd w:id="160"/>
    <w:bookmarkStart w:id="162" w:name="ref-Papadias2021Bulk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1">
        <w:r>
          <w:rPr>
            <w:rStyle w:val="Hyperlink"/>
          </w:rPr>
          <w:t xml:space="preserve">10.1016/j.ijhydene.2021.08.028</w:t>
        </w:r>
      </w:hyperlink>
      <w:r>
        <w:rPr>
          <w:rFonts w:ascii="Times New Roman" w:hAnsi="Times New Roman"/>
          <w:sz w:val="24"/>
        </w:rPr>
        <w:t xml:space="preserve">.</w:t>
      </w:r>
    </w:p>
    <w:bookmarkEnd w:id="162"/>
    <w:bookmarkStart w:id="164" w:name="ref-Caglayan2020caverns"/>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63">
        <w:r>
          <w:rPr>
            <w:rStyle w:val="Hyperlink"/>
          </w:rPr>
          <w:t xml:space="preserve">10.1016/j.ijhydene.2019.12.161</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2026-08-11T03:08:44Z</dcterms:created>
  <dcterms:modified xsi:type="dcterms:W3CDTF">2026-08-11T03:08:44Z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