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Heat pumps beat hydrogen on 2050 base-load heat cost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tested market fully recovers peaker capital across the assumed scarcity margins</w:t>
      </w:r>
    </w:p>
    <w:p>
      <w:pPr>
        <w:spacing w:line="480" w:lineRule="auto"/>
        <w:jc w:val="left"/>
      </w:pPr>
      <w:r>
        <w:rPr>
          <w:rFonts w:ascii="Times New Roman" w:hAnsi="Times New Roman"/>
          <w:b w:val="0"/>
          <w:i w:val="0"/>
          <w:sz w:val="24"/>
        </w:rPr>
        <w:t>• At €600/kW turbine capital cost, technology-neutral support favours gas</w:t>
      </w:r>
    </w:p>
    <w:p>
      <w:pPr>
        <w:spacing w:line="480" w:lineRule="auto"/>
        <w:jc w:val="left"/>
      </w:pPr>
      <w:r>
        <w:rPr>
          <w:rFonts w:ascii="Times New Roman" w:hAnsi="Times New Roman"/>
          <w:b w:val="0"/>
          <w:i w:val="0"/>
          <w:sz w:val="24"/>
        </w:rPr>
        <w:t>• Scenario ambition shifts 2050 residential-heating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Laboratory of Environmental and Urban Economics (LEURE), EPFL, Switzerland</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Hydrogen for European residential heating is usually assessed at national resolution or imposed as an adoption share, neither of which tests market-level capital recovery for peak-serving assets. We reconstruct a 1,369-region NUTS3 heat-demand surface across 29 markets, aggregate it to country level, and represent scenario uncertainty with 200 draws per scenario. Four scenarios impose exogenous hydrogen-adoption settings, compared with independently derived winter-peak dispatch support. Three roles are tested: annual levelised cost; cold-snap dispatch across buildings, district heat and power; and peaker capital recovery. At central 2050 parameters, the best heat pump costs €118.5/MWh, versus €122.8/MWh for hydrogen and €132.7/MWh for gas. With firm-generation cost allocated pro rata to heating's annual electricity-demand share, heat pumps beat hydrogen in 22 of 29 markets. Allocation by the change in peaking capacity gives 19 heat-pump wins at the low bound and 17 at the high bound. Heat-pump wins range from 13 to 29 across the hydrogen-price paths tested. On the high-carbon, equal-efficiency series, hydrogen undercuts gas at the power peak in a different set of seven markets, all with salt caverns. No tested market reaches full peaker-capital recovery over the €30–120/MWh scarcity-margin range; capacity-weighted recovery among the five that build is about 9%. At €600/kW for a hydrogen-ready turbine, technology-neutral support favours gas; selecting hydrogen requires an emissions-conditioned premium of about €172/tCO₂ of displaced gas. Operational residential-heating emissions fall from 644 MtCO₂ in 2025 to 10–352 MtCO₂ in 2050. Power-sector quantities rest on one constructed weather year and are screening results, not adequacy estimates.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annualises this cost by applying</w:t>
      </w:r>
      <w:r>
        <w:rPr>
          <w:rFonts w:ascii="Times New Roman" w:hAnsi="Times New Roman"/>
          <w:sz w:val="24"/>
        </w:rPr>
        <w:t xml:space="preserve"> </w:t>
      </w:r>
      <m:oMath>
        <m:sSub>
          <m:e>
            <m:r>
              <m:rPr>
                <m:sty m:val="p"/>
              </m:rPr>
              <m:t>CRF</m:t>
            </m:r>
          </m:e>
          <m:sub>
            <m:r>
              <m:t>c</m:t>
            </m:r>
          </m:sub>
        </m:sSub>
        <m:r>
          <m:rPr>
            <m:sty m:val="p"/>
          </m:rPr>
          <m:t>+</m:t>
        </m:r>
        <m:r>
          <m:t>f</m:t>
        </m:r>
      </m:oMath>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headline winter-peak merit order holds both turbines at an efficiency of</w:t>
      </w:r>
      <w:r>
        <w:rPr>
          <w:rFonts w:ascii="Times New Roman" w:hAnsi="Times New Roman"/>
          <w:sz w:val="24"/>
        </w:rPr>
        <w:t xml:space="preserve"> </w:t>
      </w:r>
      <w:r>
        <w:t xml:space="preserve">0.40</w:t>
      </w:r>
      <w:r>
        <w:rPr>
          <w:rFonts w:ascii="Times New Roman" w:hAnsi="Times New Roman"/>
          <w:sz w:val="24"/>
        </w:rPr>
        <w:t xml:space="preserve">. The capital-recovery layer uses evolving efficiencies:</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for gas and</w:t>
      </w:r>
      <w:r>
        <w:rPr>
          <w:rFonts w:ascii="Times New Roman" w:hAnsi="Times New Roman"/>
          <w:sz w:val="24"/>
        </w:rPr>
        <w:t xml:space="preserve"> </w:t>
      </w:r>
      <w:r>
        <w:t xml:space="preserve">0.44</w:t>
      </w:r>
      <w:r>
        <w:rPr>
          <w:rFonts w:ascii="Times New Roman" w:hAnsi="Times New Roman"/>
          <w:sz w:val="24"/>
        </w:rPr>
        <w:t xml:space="preserve"> </w:t>
      </w:r>
      <w:r>
        <w:rPr>
          <w:rFonts w:ascii="Times New Roman" w:hAnsi="Times New Roman"/>
          <w:sz w:val="24"/>
        </w:rPr>
        <w:t xml:space="preserve">for hydrogen by 2050, rising to</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for hydrogen under H2 Push, which assumes an advanced simple-cycle machine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margin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 Hydrogen last-mile distribution adder in country</w:t>
      </w:r>
      <w:r>
        <w:rPr>
          <w:rFonts w:ascii="Times New Roman" w:hAnsi="Times New Roman"/>
          <w:sz w:val="24"/>
        </w:rPr>
        <w:t xml:space="preserve"> </w:t>
      </w:r>
      <m:oMath>
        <m:r>
          <m:t>c</m:t>
        </m:r>
      </m:oMath>
      <w:r>
        <w:rPr>
          <w:rFonts w:ascii="Times New Roman" w:hAnsi="Times New Roman"/>
          <w:sz w:val="24"/>
        </w:rPr>
        <w:t xml:space="preserve">, charged in the symmetric accounting (median €13.4/MWh)</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This study therefore asks under what conditions, and where, decarbonised hydrogen is competitive against heat-pump electrification in the buildings of the EU-27, the United Kingdom and Switzerland by 2050. Against those strands it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on a 1</w:t>
      </w:r>
      <w:r>
        <w:rPr>
          <w:rFonts w:ascii="Times New Roman" w:hAnsi="Times New Roman"/>
          <w:sz w:val="24"/>
        </w:rPr>
        <w:t xml:space="preserve">,</w:t>
      </w:r>
      <w:r>
        <w:rPr>
          <w:rFonts w:ascii="Times New Roman" w:hAnsi="Times New Roman"/>
          <w:sz w:val="24"/>
        </w:rPr>
        <w:t xml:space="preserve">369-region NUTS3 demand surface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charge the heat pump for the low- and medium-voltage reinforcement associated with its winter peak and the hydrogen boiler for its own last-mile network and seasonal store. Each infrastructure term is varied separately in sensitivity analysis. These choices narrow the heat pump’s median margin without reversing its central ordering, although some sensitivity combinations do.</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Repriced on the short-run marginal cost (SRMC) a system</w:t>
      </w:r>
      <w:r>
        <w:rPr>
          <w:rFonts w:ascii="Times New Roman" w:hAnsi="Times New Roman"/>
          <w:sz w:val="24"/>
        </w:rPr>
        <w:t xml:space="preserve"> </w:t>
      </w:r>
      <w:r>
        <w:rPr>
          <w:rFonts w:ascii="Times New Roman" w:hAnsi="Times New Roman"/>
          <w:sz w:val="24"/>
        </w:rPr>
        <w:t xml:space="preserve">operator uses, hydrogen wins the cold-snap peak in a minority of markets that grows with</w:t>
      </w:r>
      <w:r>
        <w:rPr>
          <w:rFonts w:ascii="Times New Roman" w:hAnsi="Times New Roman"/>
          <w:sz w:val="24"/>
        </w:rPr>
        <w:t xml:space="preserve"> </w:t>
      </w:r>
      <w:r>
        <w:rPr>
          <w:rFonts w:ascii="Times New Roman" w:hAnsi="Times New Roman"/>
          <w:sz w:val="24"/>
        </w:rPr>
        <w:t xml:space="preserve">policy ambition, and no tested market reaches full peaker-capital recovery across the assumed scarcity margins, the classic missing-money problem.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[38], [39]</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Demand is resolved at the third level of the Nomenclature of Territorial</w:t>
      </w:r>
      <w:r>
        <w:rPr>
          <w:rFonts w:ascii="Times New Roman" w:hAnsi="Times New Roman"/>
          <w:sz w:val="24"/>
        </w:rPr>
        <w:t xml:space="preserve"> </w:t>
      </w:r>
      <w:r>
        <w:rPr>
          <w:rFonts w:ascii="Times New Roman" w:hAnsi="Times New Roman"/>
          <w:sz w:val="24"/>
        </w:rPr>
        <w:t xml:space="preserve">Units for Statistics as a 1</w:t>
      </w:r>
      <w:r>
        <w:rPr>
          <w:rFonts w:ascii="Times New Roman" w:hAnsi="Times New Roman"/>
          <w:sz w:val="24"/>
        </w:rPr>
        <w:t xml:space="preserve">,</w:t>
      </w:r>
      <w:r>
        <w:rPr>
          <w:rFonts w:ascii="Times New Roman" w:hAnsi="Times New Roman"/>
          <w:sz w:val="24"/>
        </w:rPr>
        <w:t xml:space="preserve">369-region NUTS3 demand surface, then aggregated to country</w:t>
      </w:r>
      <w:r>
        <w:rPr>
          <w:rFonts w:ascii="Times New Roman" w:hAnsi="Times New Roman"/>
          <w:sz w:val="24"/>
        </w:rPr>
        <w:t xml:space="preserve"> </w:t>
      </w:r>
      <w:r>
        <w:rPr>
          <w:rFonts w:ascii="Times New Roman" w:hAnsi="Times New Roman"/>
          <w:sz w:val="24"/>
        </w:rPr>
        <w:t xml:space="preserve">level before the economic tests.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tests address distinct operating roles, so a technology may lose the annual comparison and still compete at a cold-snap peak. The first two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[40]</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[41], [42]</w:t>
      </w:r>
      <w:r>
        <w:rPr>
          <w:rFonts w:ascii="Times New Roman" w:hAnsi="Times New Roman"/>
          <w:sz w:val="24"/>
        </w:rPr>
        <w:t xml:space="preserve">, benchmarks it. The bottom-up reconstruction is 0.8 per cent below the benchmark in aggregate, and 28 of</w:t>
      </w:r>
      <w:r>
        <w:rPr>
          <w:rFonts w:ascii="Times New Roman" w:hAnsi="Times New Roman"/>
          <w:sz w:val="24"/>
        </w:rPr>
        <w:t xml:space="preserve"> </w:t>
      </w:r>
      <w:r>
        <w:rPr>
          <w:rFonts w:ascii="Times New Roman" w:hAnsi="Times New Roman"/>
          <w:sz w:val="24"/>
        </w:rPr>
        <w:t xml:space="preserve">the 29 country estimates lie within</w:t>
      </w:r>
      <w:r>
        <w:rPr>
          <w:rFonts w:ascii="Times New Roman" w:hAnsi="Times New Roman"/>
          <w:sz w:val="24"/>
        </w:rPr>
        <w:t xml:space="preserve"> </w:t>
      </w:r>
      <w:r>
        <w:t xml:space="preserve">±25</w:t>
      </w:r>
      <w:r>
        <w:rPr>
          <w:rFonts w:ascii="Times New Roman" w:hAnsi="Times New Roman"/>
          <w:sz w:val="24"/>
        </w:rPr>
        <w:t xml:space="preserve"> per cent.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[43]</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CAPEX and fixed O&amp;M are expressed per kW of useful-heat output, sized to peak useful-heat demand, and annualised over useful-heat full-load hours (Supplementary Section S1.3).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[45], [46]</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[47]</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[49], [50]</w:t>
      </w:r>
      <w:r>
        <w:rPr>
          <w:rFonts w:ascii="Times New Roman" w:hAnsi="Times New Roman"/>
          <w:sz w:val="24"/>
        </w:rPr>
        <w:t xml:space="preserve">.</w:t>
      </w:r>
    </w:p>
    <w:p>
      <w:pPr>
        <w:pStyle w:val="BodyText"/>
      </w:pPr>
      <w:r>
        <w:rPr>
          <w:rFonts w:ascii="Times New Roman" w:hAnsi="Times New Roman"/>
          <w:sz w:val="24"/>
        </w:rPr>
        <w:t xml:space="preserve">An operational CO</w:t>
      </w:r>
      <w:r>
        <w:rPr>
          <w:vertAlign w:val="subscript"/>
        </w:rPr>
        <w:t xml:space="preserve">2</w:t>
      </w:r>
      <w:r>
        <w:rPr>
          <w:rFonts w:ascii="Times New Roman" w:hAnsi="Times New Roman"/>
          <w:sz w:val="24"/>
        </w:rPr>
        <w:t xml:space="preserve"> </w:t>
      </w:r>
      <w:r>
        <w:rPr>
          <w:rFonts w:ascii="Times New Roman" w:hAnsi="Times New Roman"/>
          <w:sz w:val="24"/>
        </w:rPr>
        <w:t xml:space="preserve">inventory runs alongside the cost layer on the same technology split, combining direct combustion with attributed electricity and district-heat generation intensities and excluding upstream, infrastructure and embodied emissions. It charges</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[52], [53]</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roughly 2.7 times the electric delivery charge before fuel.</w:t>
      </w:r>
    </w:p>
    <w:p>
      <w:pPr>
        <w:pStyle w:val="BodyText"/>
      </w:pPr>
      <w:r>
        <w:rPr>
          <w:rFonts w:ascii="Times New Roman" w:hAnsi="Times New Roman"/>
          <w:sz w:val="24"/>
        </w:rPr>
        <w:t xml:space="preserve">Within each draw the observed 2025 country shares are interpolated to the sampled 2050 heat-pump, district-heat, hydrogen and fossil targets using sampled power-law uptake exponents, with NUTS3 feasibility factors scaling the heat-pump and district-heat targets. Among the non-fossil options a cost-responsive component then reallocates share on softmax weights</w:t>
      </w:r>
      <w:r>
        <w:rPr>
          <w:rFonts w:ascii="Times New Roman" w:hAnsi="Times New Roman"/>
          <w:sz w:val="24"/>
        </w:rPr>
        <w:t xml:space="preserve"> </w:t>
      </w:r>
      <m:oMath>
        <m:sSub>
          <m:e>
            <m:r>
              <m:t>w</m:t>
            </m:r>
          </m:e>
          <m:sub>
            <m:r>
              <m:t>i</m:t>
            </m:r>
            <m:r>
              <m:rPr>
                <m:sty m:val="p"/>
              </m:rPr>
              <m:t>,</m:t>
            </m:r>
            <m:r>
              <m:t>c</m:t>
            </m:r>
            <m:r>
              <m:rPr>
                <m:sty m:val="p"/>
              </m:rPr>
              <m:t>,</m:t>
            </m:r>
            <m:r>
              <m:t>t</m:t>
            </m:r>
          </m:sub>
        </m:sSub>
        <m:r>
          <m:rPr>
            <m:sty m:val="p"/>
          </m:rPr>
          <m:t>=exp(−</m:t>
        </m:r>
        <m:sSub>
          <m:e>
            <m:r>
              <m:rPr>
                <m:sty m:val="p"/>
              </m:rPr>
              <m:t>LCOH</m:t>
            </m:r>
          </m:e>
          <m:sub>
            <m:r>
              <m:t>i</m:t>
            </m:r>
            <m:r>
              <m:rPr>
                <m:sty m:val="p"/>
              </m:rPr>
              <m:t>,</m:t>
            </m:r>
            <m:r>
              <m:t>c</m:t>
            </m:r>
            <m:r>
              <m:rPr>
                <m:sty m:val="p"/>
              </m:rPr>
              <m:t>,</m:t>
            </m:r>
            <m:r>
              <m:t>t</m:t>
            </m:r>
          </m:sub>
        </m:sSub>
        <m:r>
          <m:rPr>
            <m:sty m:val="p"/>
          </m:rPr>
          <m:t>/</m:t>
        </m:r>
        <m:r>
          <m:t>T</m:t>
        </m:r>
        <m:r>
          <m:rPr>
            <m:sty m:val="p"/>
          </m:rPr>
          <m:t>)/</m:t>
        </m:r>
        <m:nary>
          <m:naryPr>
            <m:chr m:val="∑"/>
            <m:limLoc m:val="undOvr"/>
            <m:subHide m:val="off"/>
            <m:supHide m:val="on"/>
          </m:naryPr>
          <m:sub>
            <m:r>
              <m:t>j</m:t>
            </m:r>
          </m:sub>
          <m:sup>
            <m:r>
              <m:t>​</m:t>
            </m:r>
          </m:sup>
          <m:e>
            <m:r>
              <m:rPr>
                <m:sty m:val="p"/>
              </m:rPr>
              <m:t>exp</m:t>
            </m:r>
          </m:e>
        </m:nary>
        <m:r>
          <m:rPr>
            <m:sty m:val="p"/>
          </m:rPr>
          <m:t>(−</m:t>
        </m:r>
        <m:sSub>
          <m:e>
            <m:r>
              <m:rPr>
                <m:sty m:val="p"/>
              </m:rPr>
              <m:t>LCOH</m:t>
            </m:r>
          </m:e>
          <m:sub>
            <m:r>
              <m:t>j</m:t>
            </m:r>
            <m:r>
              <m:rPr>
                <m:sty m:val="p"/>
              </m:rPr>
              <m:t>,</m:t>
            </m:r>
            <m:r>
              <m:t>c</m:t>
            </m:r>
            <m:r>
              <m:rPr>
                <m:sty m:val="p"/>
              </m:rPr>
              <m:t>,</m:t>
            </m:r>
            <m:r>
              <m:t>t</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set to €50/MWh, blended in on a weight rising linearly from zero in 2025 to 0.50 in 2050. Fossil shares stay policy-defined. Hydrogen is capped at its drawn adoption target and any excess goes first to heat pumps within feasibility and then to district heat. This is a heuristic scenario-allocation rule rather than an estimated choice model or a system-cost optimum (Supplementary Section S1.5).</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m:t>
                </m:r>
                <m:sSubSup>
                  <m:e>
                    <m:r>
                      <m:t>a</m:t>
                    </m:r>
                  </m:e>
                  <m:sub>
                    <m:r>
                      <m:t>c</m:t>
                    </m:r>
                  </m:sub>
                  <m:sup>
                    <m:sSub>
                      <m:e>
                        <m:r>
                          <m:rPr>
                            <m:sty m:val="p"/>
                          </m:rPr>
                          <m:t>H</m:t>
                        </m:r>
                      </m:e>
                      <m:sub>
                        <m:r>
                          <m:rPr>
                            <m:sty m:val="p"/>
                          </m:rPr>
                          <m:t>2</m:t>
                        </m:r>
                      </m:sub>
                    </m:sSub>
                    <m:r>
                      <m:rPr>
                        <m:sty m:val="p"/>
                      </m:rPr>
                      <m:t>,dist</m:t>
                    </m:r>
                  </m:sup>
                </m:sSubSup>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denotes conversion efficiency,</w:t>
      </w:r>
      <w:r>
        <w:rPr>
          <w:rFonts w:ascii="Times New Roman" w:hAnsi="Times New Roman"/>
          <w:sz w:val="24"/>
        </w:rPr>
        <w:t xml:space="preserve"> </w:t>
      </w: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is the hydrogen last-mile distribution adder used in the symmetric accounting, 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is the seasonal-storage adder, about €50/MWh-heat with domestic salt caverns and €100 without, the two ends spanning the cavern rate and the high-cost non-salt-storage proxy reported in the bulk-storage literature</w:t>
      </w:r>
      <w:r>
        <w:rPr>
          <w:rFonts w:ascii="Times New Roman" w:hAnsi="Times New Roman"/>
          <w:sz w:val="24"/>
        </w:rPr>
        <w:t xml:space="preserve"> </w:t>
      </w:r>
      <w:r>
        <w:rPr>
          <w:rFonts w:ascii="Times New Roman" w:hAnsi="Times New Roman"/>
          <w:sz w:val="24"/>
        </w:rPr>
        <w:t xml:space="preserve">[54], [55]</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eight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Eight exogenous levers per scenario,</w:t>
      </w:r>
      <w:r>
        <w:rPr>
          <w:rFonts w:ascii="Times New Roman" w:hAnsi="Times New Roman"/>
          <w:sz w:val="24"/>
        </w:rPr>
        <w:t xml:space="preserve"> </w:t>
      </w:r>
      <w:r>
        <w:rPr>
          <w:rFonts w:ascii="Times New Roman" w:hAnsi="Times New Roman"/>
          <w:sz w:val="24"/>
        </w:rPr>
        <w:t xml:space="preserve">with 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Heat-pump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50%</w:t>
            </w:r>
          </w:p>
        </w:tc>
        <w:tc>
          <w:tcPr>
            <w:tcW w:type="dxa" w:w="1440"/>
          </w:tcPr>
          <w:p>
            <w:pPr>
              <w:keepNext/>
              <w:spacing w:line="240" w:lineRule="auto" w:after="0"/>
              <w:jc w:val="center"/>
            </w:pPr>
            <w:r>
              <w:rPr>
                <w:rFonts w:ascii="Times New Roman" w:hAnsi="Times New Roman"/>
                <w:b w:val="0"/>
                <w:i w:val="0"/>
                <w:sz w:val="20"/>
              </w:rPr>
              <w:t>62%</w:t>
            </w:r>
          </w:p>
        </w:tc>
        <w:tc>
          <w:tcPr>
            <w:tcW w:type="dxa" w:w="1440"/>
          </w:tcPr>
          <w:p>
            <w:pPr>
              <w:keepNext/>
              <w:spacing w:line="240" w:lineRule="auto" w:after="0"/>
              <w:jc w:val="center"/>
            </w:pPr>
            <w:r>
              <w:rPr>
                <w:rFonts w:ascii="Times New Roman" w:hAnsi="Times New Roman"/>
                <w:b w:val="0"/>
                <w:i w:val="0"/>
                <w:sz w:val="20"/>
              </w:rPr>
              <w:t>46%</w:t>
            </w:r>
          </w:p>
        </w:tc>
      </w:tr>
      <w:tr>
        <w:trPr>
          <w:cantSplit/>
        </w:trPr>
        <w:tc>
          <w:tcPr>
            <w:tcW w:type="dxa" w:w="3600"/>
          </w:tcPr>
          <w:p>
            <w:pPr>
              <w:keepNext/>
              <w:spacing w:line="240" w:lineRule="auto" w:after="0"/>
              <w:jc w:val="left"/>
            </w:pPr>
            <w:r>
              <w:rPr>
                <w:rFonts w:ascii="Times New Roman" w:hAnsi="Times New Roman"/>
                <w:b w:val="0"/>
                <w:i w:val="0"/>
                <w:sz w:val="20"/>
              </w:rPr>
              <w:t>District-heat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16%</w:t>
            </w:r>
          </w:p>
        </w:tc>
        <w:tc>
          <w:tcPr>
            <w:tcW w:type="dxa" w:w="1440"/>
          </w:tcPr>
          <w:p>
            <w:pPr>
              <w:keepNext/>
              <w:spacing w:line="240" w:lineRule="auto" w:after="0"/>
              <w:jc w:val="center"/>
            </w:pPr>
            <w:r>
              <w:rPr>
                <w:rFonts w:ascii="Times New Roman" w:hAnsi="Times New Roman"/>
                <w:b w:val="0"/>
                <w:i w:val="0"/>
                <w:sz w:val="20"/>
              </w:rPr>
              <w:t>18%</w:t>
            </w:r>
          </w:p>
        </w:tc>
        <w:tc>
          <w:tcPr>
            <w:tcW w:type="dxa" w:w="1440"/>
          </w:tcPr>
          <w:p>
            <w:pPr>
              <w:keepNext/>
              <w:spacing w:line="240" w:lineRule="auto" w:after="0"/>
              <w:jc w:val="center"/>
            </w:pPr>
            <w:r>
              <w:rPr>
                <w:rFonts w:ascii="Times New Roman" w:hAnsi="Times New Roman"/>
                <w:b w:val="0"/>
                <w:i w:val="0"/>
                <w:sz w:val="20"/>
              </w:rPr>
              <w:t>22%</w:t>
            </w:r>
          </w:p>
        </w:tc>
        <w:tc>
          <w:tcPr>
            <w:tcW w:type="dxa" w:w="1440"/>
          </w:tcPr>
          <w:p>
            <w:pPr>
              <w:keepNext/>
              <w:spacing w:line="240" w:lineRule="auto" w:after="0"/>
              <w:jc w:val="center"/>
            </w:pPr>
            <w:r>
              <w:rPr>
                <w:rFonts w:ascii="Times New Roman" w:hAnsi="Times New Roman"/>
                <w:b w:val="0"/>
                <w:i w:val="0"/>
                <w:sz w:val="20"/>
              </w:rPr>
              <w:t>20%</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diagnostic; not a lever and not used to set adoption</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so</w:t>
      </w:r>
      <w:r>
        <w:rPr>
          <w:rFonts w:ascii="Times New Roman" w:hAnsi="Times New Roman"/>
          <w:sz w:val="24"/>
        </w:rPr>
        <w:t xml:space="preserve"> </w:t>
      </w:r>
      <w:r>
        <w:rPr>
          <w:rFonts w:ascii="Times New Roman" w:hAnsi="Times New Roman"/>
          <w:sz w:val="24"/>
        </w:rPr>
        <w:t xml:space="preserve">realised medians sit slightly above them. Supplementary 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margin and derate. Stated Policies sets adoption above it</w:t>
      </w:r>
      <w:r>
        <w:rPr>
          <w:rFonts w:ascii="Times New Roman" w:hAnsi="Times New Roman"/>
          <w:sz w:val="24"/>
        </w:rPr>
        <w:t xml:space="preserve"> </w:t>
      </w:r>
      <w:r>
        <w:rPr>
          <w:rFonts w:ascii="Times New Roman" w:hAnsi="Times New Roman"/>
          <w:sz w:val="24"/>
        </w:rPr>
        <w:t xml:space="preserve">(Section 3.3). The sensitivity excluding hydrogen last-mile</w:t>
      </w:r>
      <w:r>
        <w:rPr>
          <w:rFonts w:ascii="Times New Roman" w:hAnsi="Times New Roman"/>
          <w:sz w:val="24"/>
        </w:rPr>
        <w:t xml:space="preserve"> </w:t>
      </w:r>
      <w:r>
        <w:rPr>
          <w:rFonts w:ascii="Times New Roman" w:hAnsi="Times New Roman"/>
          <w:sz w:val="24"/>
        </w:rPr>
        <w:t xml:space="preserve">distribution and using the residential rather than wholesale gas tariff gives 0, 5.1,</w:t>
      </w:r>
      <w:r>
        <w:rPr>
          <w:rFonts w:ascii="Times New Roman" w:hAnsi="Times New Roman"/>
          <w:sz w:val="24"/>
        </w:rPr>
        <w:t xml:space="preserve"> </w:t>
      </w:r>
      <w:r>
        <w:rPr>
          <w:rFonts w:ascii="Times New Roman" w:hAnsi="Times New Roman"/>
          <w:sz w:val="24"/>
        </w:rPr>
        <w:t xml:space="preserve">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construction is the dominant limitation on the power-sector results. The</w:t>
      </w:r>
      <w:r>
        <w:rPr>
          <w:rFonts w:ascii="Times New Roman" w:hAnsi="Times New Roman"/>
          <w:sz w:val="24"/>
        </w:rPr>
        <w:t xml:space="preserve"> </w:t>
      </w:r>
      <w:r>
        <w:rPr>
          <w:rFonts w:ascii="Times New Roman" w:hAnsi="Times New Roman"/>
          <w:sz w:val="24"/>
        </w:rPr>
        <w:t xml:space="preserve">power layer uses one synthetic hourly year rather than reanalysis or metered data.</w:t>
      </w:r>
      <w:r>
        <w:rPr>
          <w:rFonts w:ascii="Times New Roman" w:hAnsi="Times New Roman"/>
          <w:sz w:val="24"/>
        </w:rPr>
        <w:t xml:space="preserve"> </w:t>
      </w:r>
      <w:r>
        <w:rPr>
          <w:rFonts w:ascii="Times New Roman" w:hAnsi="Times New Roman"/>
          <w:sz w:val="24"/>
        </w:rPr>
        <w:t xml:space="preserve">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varies by about</w:t>
      </w:r>
      <w:r>
        <w:rPr>
          <w:rFonts w:ascii="Times New Roman" w:hAnsi="Times New Roman"/>
          <w:sz w:val="24"/>
        </w:rPr>
        <w:t xml:space="preserve"> </w:t>
      </w:r>
      <w:r>
        <w:t xml:space="preserve">±</w:t>
      </w:r>
      <w:r>
        <w:rPr>
          <w:rFonts w:ascii="Times New Roman" w:hAnsi="Times New Roman"/>
          <w:sz w:val="24"/>
        </w:rPr>
        <w:t xml:space="preserve">9 per cent with the assumed event length.</w:t>
      </w:r>
      <w:r>
        <w:rPr>
          <w:rFonts w:ascii="Times New Roman" w:hAnsi="Times New Roman"/>
          <w:sz w:val="24"/>
        </w:rPr>
        <w:t xml:space="preserve"> </w:t>
      </w:r>
      <w:r>
        <w:rPr>
          <w:rFonts w:ascii="Times New Roman" w:hAnsi="Times New Roman"/>
          <w:sz w:val="24"/>
        </w:rPr>
        <w:t xml:space="preserve">The resulting capacity requirement, full-load hours and cumulative shortfall are</w:t>
      </w:r>
      <w:r>
        <w:rPr>
          <w:rFonts w:ascii="Times New Roman" w:hAnsi="Times New Roman"/>
          <w:sz w:val="24"/>
        </w:rPr>
        <w:t xml:space="preserve"> </w:t>
      </w:r>
      <w:r>
        <w:rPr>
          <w:rFonts w:ascii="Times New Roman" w:hAnsi="Times New Roman"/>
          <w:sz w:val="24"/>
        </w:rPr>
        <w:t xml:space="preserve">conditional on the constructed weather year and should not be interpreted as adequacy</w:t>
      </w:r>
      <w:r>
        <w:rPr>
          <w:rFonts w:ascii="Times New Roman" w:hAnsi="Times New Roman"/>
          <w:sz w:val="24"/>
        </w:rPr>
        <w:t xml:space="preserve"> </w:t>
      </w:r>
      <w:r>
        <w:rPr>
          <w:rFonts w:ascii="Times New Roman" w:hAnsi="Times New Roman"/>
          <w:sz w:val="24"/>
        </w:rPr>
        <w:t xml:space="preserve">estimates.</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draws per scenario. Each draw samples country renovation-rate shocks; 2050 heat-pump, district-heat, hydrogen and fossil targets; uptake exponents; ground-source heat-pump share; ETS2 pass-through; WACC; heat-pump-feasibility multipliers; and correlated country-carrier fuel-price multipliers. Cross-country shock correlation is 0.5 on renovation and 0.75 on fuel prices, higher on prices because European gas and electricity markets clear against shared hubs whereas renovation policy is national. Results are reported at the 10th, 50th and 90th percentiles. Carbon-price, hydrogen-price and grid-decarbonisation paths remain fixed within each scenario and are evaluated as deterministic axes; equipment CAPEX and performance are varied in deterministic sweeps. A variance-based Sobol screen ranks the four demand drivers, and a regression-based global screen using standardised rank-regression coefficients ranks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addressing distinct operating roles, so a peaking win does not overturn a base-load loss.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reports the demand, technology-mix and emissions results</w:t>
      </w:r>
      <w:r>
        <w:rPr>
          <w:rFonts w:ascii="Times New Roman" w:hAnsi="Times New Roman"/>
          <w:sz w:val="24"/>
        </w:rPr>
        <w:t xml:space="preserve"> </w:t>
      </w:r>
      <w:r>
        <w:rPr>
          <w:rFonts w:ascii="Times New Roman" w:hAnsi="Times New Roman"/>
          <w:sz w:val="24"/>
        </w:rPr>
        <w:t xml:space="preserve">used by the subsequent tests. Sections 3.5</w:t>
      </w:r>
      <w:r>
        <w:rPr>
          <w:rFonts w:ascii="Times New Roman" w:hAnsi="Times New Roman"/>
          <w:sz w:val="24"/>
        </w:rPr>
        <w:t xml:space="preserve"> </w:t>
      </w:r>
      <w:r>
        <w:rPr>
          <w:rFonts w:ascii="Times New Roman" w:hAnsi="Times New Roman"/>
          <w:sz w:val="24"/>
        </w:rPr>
        <w:t xml:space="preserve">and 3.6 provide the least-cost and Switzerland cross-checks.</w:t>
      </w:r>
      <w:r>
        <w:rPr>
          <w:rFonts w:ascii="Times New Roman" w:hAnsi="Times New Roman"/>
          <w:sz w:val="24"/>
        </w:rPr>
        <w:t xml:space="preserve"> </w:t>
      </w:r>
      <w:r>
        <w:rPr>
          <w:rFonts w:ascii="Times New Roman" w:hAnsi="Times New Roman"/>
          <w:sz w:val="24"/>
        </w:rPr>
        <w:t xml:space="preserve">Monte Carlo results for demand, technology mix and emissions are reported as medians with</w:t>
      </w:r>
      <w:r>
        <w:rPr>
          <w:rFonts w:ascii="Times New Roman" w:hAnsi="Times New Roman"/>
          <w:sz w:val="24"/>
        </w:rPr>
        <w:t xml:space="preserve"> </w:t>
      </w:r>
      <w:r>
        <w:rPr>
          <w:rFonts w:ascii="Times New Roman" w:hAnsi="Times New Roman"/>
          <w:sz w:val="24"/>
        </w:rPr>
        <w:t xml:space="preserve">percentile bands. The cost, dispatch and capital-recovery tests use central parameters</w:t>
      </w:r>
      <w:r>
        <w:rPr>
          <w:rFonts w:ascii="Times New Roman" w:hAnsi="Times New Roman"/>
          <w:sz w:val="24"/>
        </w:rPr>
        <w:t xml:space="preserve"> </w:t>
      </w:r>
      <w:r>
        <w:rPr>
          <w:rFonts w:ascii="Times New Roman" w:hAnsi="Times New Roman"/>
          <w:sz w:val="24"/>
        </w:rPr>
        <w:t xml:space="preserve">with their governing prices and charges evaluated in deterministic sweeps.</w:t>
      </w:r>
      <w:r>
        <w:rPr>
          <w:rFonts w:ascii="Times New Roman" w:hAnsi="Times New Roman"/>
          <w:sz w:val="24"/>
        </w:rPr>
        <w:t xml:space="preserve"> </w:t>
      </w:r>
      <w:r>
        <w:rPr>
          <w:rFonts w:ascii="Times New Roman" w:hAnsi="Times New Roman"/>
          <w:sz w:val="24"/>
        </w:rPr>
        <w:t xml:space="preserve">Running medians enter and remain within</w:t>
      </w:r>
      <w:r>
        <w:rPr>
          <w:rFonts w:ascii="Times New Roman" w:hAnsi="Times New Roman"/>
          <w:sz w:val="24"/>
        </w:rPr>
        <w:t xml:space="preserve"> </w:t>
      </w:r>
      <w:r>
        <w:t xml:space="preserve">±1</w:t>
      </w:r>
      <w:r>
        <w:rPr>
          <w:rFonts w:ascii="Times New Roman" w:hAnsi="Times New Roman"/>
          <w:sz w:val="24"/>
        </w:rPr>
        <w:t xml:space="preserve"> per cent by draw 139, whereas the deciles</w:t>
      </w:r>
      <w:r>
        <w:rPr>
          <w:rFonts w:ascii="Times New Roman" w:hAnsi="Times New Roman"/>
          <w:sz w:val="24"/>
        </w:rPr>
        <w:t xml:space="preserve"> </w:t>
      </w:r>
      <w:r>
        <w:rPr>
          <w:rFonts w:ascii="Times New Roman" w:hAnsi="Times New Roman"/>
          <w:sz w:val="24"/>
        </w:rPr>
        <w:t xml:space="preserve">do so only by draw 188. Medians are therefore treated as converged and deciles as</w:t>
      </w:r>
      <w:r>
        <w:rPr>
          <w:rFonts w:ascii="Times New Roman" w:hAnsi="Times New Roman"/>
          <w:sz w:val="24"/>
        </w:rPr>
        <w:t xml:space="preserve"> </w:t>
      </w:r>
      <w:r>
        <w:rPr>
          <w:rFonts w:ascii="Times New Roman" w:hAnsi="Times New Roman"/>
          <w:sz w:val="24"/>
        </w:rPr>
        <w:t xml:space="preserve">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percentage error is</w:t>
      </w:r>
      <w:r>
        <w:rPr>
          <w:rFonts w:ascii="Times New Roman" w:hAnsi="Times New Roman"/>
          <w:sz w:val="24"/>
        </w:rPr>
        <w:t xml:space="preserve"> </w:t>
      </w:r>
      <w:r>
        <w:t xml:space="preserve">11.6</w:t>
      </w:r>
      <w:r>
        <w:rPr>
          <w:rFonts w:ascii="Times New Roman" w:hAnsi="Times New Roman"/>
          <w:sz w:val="24"/>
        </w:rPr>
        <w:t xml:space="preserve"> per cent, the demand-weighted mean absolute percentage error is</w:t>
      </w:r>
      <w:r>
        <w:rPr>
          <w:rFonts w:ascii="Times New Roman" w:hAnsi="Times New Roman"/>
          <w:sz w:val="24"/>
        </w:rPr>
        <w:t xml:space="preserve"> </w:t>
      </w:r>
      <w:r>
        <w:t xml:space="preserve">9.8</w:t>
      </w:r>
      <w:r>
        <w:rPr>
          <w:rFonts w:ascii="Times New Roman" w:hAnsi="Times New Roman"/>
          <w:sz w:val="24"/>
        </w:rPr>
        <w:t xml:space="preserve"> per cent, the root-mean-square error of the percentage deviations is</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percentage points, and the median absolute percentage error is</w:t>
      </w:r>
      <w:r>
        <w:rPr>
          <w:rFonts w:ascii="Times New Roman" w:hAnsi="Times New Roman"/>
          <w:sz w:val="24"/>
        </w:rPr>
        <w:t xml:space="preserve"> </w:t>
      </w:r>
      <w:r>
        <w:t xml:space="preserve">8.5</w:t>
      </w:r>
      <w:r>
        <w:rPr>
          <w:rFonts w:ascii="Times New Roman" w:hAnsi="Times New Roman"/>
          <w:sz w:val="24"/>
        </w:rPr>
        <w:t xml:space="preserve"> per cent. Backcasting to the benchmark’s 2015 vintage produces an aggregate deviation of</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subsequent economic parameters are applied at country level, so the model does not resolve subnational cost rankings.</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against existing-fleet seasonal COPs of 2.8–4.1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cost component for all</w:t>
      </w:r>
      <w:r>
        <w:rPr>
          <w:rFonts w:ascii="Times New Roman" w:hAnsi="Times New Roman"/>
          <w:sz w:val="24"/>
        </w:rPr>
        <w:t xml:space="preserve"> </w:t>
      </w:r>
      <w:r>
        <w:rPr>
          <w:rFonts w:ascii="Times New Roman" w:hAnsi="Times New Roman"/>
          <w:sz w:val="24"/>
        </w:rPr>
        <w:t xml:space="preserve">three technologies. Capital accounts for about 28 per cent of median heat-pump LCOH,</w:t>
      </w:r>
      <w:r>
        <w:rPr>
          <w:rFonts w:ascii="Times New Roman" w:hAnsi="Times New Roman"/>
          <w:sz w:val="24"/>
        </w:rPr>
        <w:t xml:space="preserve"> </w:t>
      </w:r>
      <w:r>
        <w:rPr>
          <w:rFonts w:ascii="Times New Roman" w:hAnsi="Times New Roman"/>
          <w:sz w:val="24"/>
        </w:rPr>
        <w:t xml:space="preserve">while the hydrogen boiler’s network-and-storage component, at about 27 per cent, is</w:t>
      </w:r>
      <w:r>
        <w:rPr>
          <w:rFonts w:ascii="Times New Roman" w:hAnsi="Times New Roman"/>
          <w:sz w:val="24"/>
        </w:rPr>
        <w:t xml:space="preserve"> </w:t>
      </w:r>
      <w:r>
        <w:rPr>
          <w:rFonts w:ascii="Times New Roman" w:hAnsi="Times New Roman"/>
          <w:sz w:val="24"/>
        </w:rPr>
        <w:t xml:space="preserve">comparable to its combined capital and fixed O&amp;M.</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markets, the median 2050 country gap is</w:t>
      </w:r>
      <w:r>
        <w:rPr>
          <w:rFonts w:ascii="Times New Roman" w:hAnsi="Times New Roman"/>
          <w:sz w:val="24"/>
        </w:rPr>
        <w:t xml:space="preserve"> </w:t>
      </w:r>
      <w:r>
        <w:t xml:space="preserve">+</w:t>
      </w:r>
      <w:r>
        <w:rPr>
          <w:rFonts w:ascii="Times New Roman" w:hAnsi="Times New Roman"/>
          <w:sz w:val="24"/>
        </w:rPr>
        <w:t xml:space="preserve">€15.4/MWh, whereas the mean weighted by 2025 country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 heating draws about three-quarters of its annual energy between October and March, whereas electrolytic production is far flatter. The mismatch is held between seasons at an 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[54], [55],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and the second is the most consequential. The</w:t>
      </w:r>
      <w:r>
        <w:rPr>
          <w:rFonts w:ascii="Times New Roman" w:hAnsi="Times New Roman"/>
          <w:sz w:val="24"/>
        </w:rPr>
        <w:t xml:space="preserve"> </w:t>
      </w:r>
      <w:r>
        <w:rPr>
          <w:rFonts w:ascii="Times New Roman" w:hAnsi="Times New Roman"/>
          <w:sz w:val="24"/>
        </w:rPr>
        <w:t xml:space="preserve">first 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 green price and wider than the €30/MWh by which hydrogen leads in Denmark, its widest win. The blue-hydrogen sensitivity is applied in two ways. A uniform €81/MWh price across all markets removes hydrogen’s advantage in all seven green-hydrogen base-load markets. Scaling each country’s green-hydrogen price by the 81/50 ratio instead leaves Denmark as the sole hydrogen win. The third assumption is firm generating capacity. It is not included in the central heat-pump levelised cost, since electrified heat is charged distribution reinforcement but not the firm capacity the same winter evenings call on, which Section 3.4 costs at €51–66/kW-yr annualised. We therefore report three attribution bounds. Allocating firm-generation cost pro rata to heating’s 9.2 per cent share of annual electricity demand costs €1.0–1.3/MWh over the 1</w:t>
      </w:r>
      <w:r>
        <w:rPr>
          <w:rFonts w:ascii="Times New Roman" w:hAnsi="Times New Roman"/>
          <w:sz w:val="24"/>
        </w:rPr>
        <w:t xml:space="preserve">,</w:t>
      </w:r>
      <w:r>
        <w:rPr>
          <w:rFonts w:ascii="Times New Roman" w:hAnsi="Times New Roman"/>
          <w:sz w:val="24"/>
        </w:rPr>
        <w:t xml:space="preserve">273 TWh of heat-pump heat and leaves the heat-pump base-load count at 22 of 29. Allocating the entire peaking fleet to heat-pump load is €11.2–14.5/MWh and takes that count to 17 at the low bound and 15 at the high one. Between the two sits allocation by the change in peaking capacity when heat-pump demand is removed, since a peaking asset is built for 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Allocating on that share is €8.9–11.5/MWh and takes the count to 19 at the low bound and 17 at the high one, so the count of 22 holds on the pro-rata allocation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base-load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reported in the main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H2 Push merit-order prices for Denmark against the</w:t>
      </w:r>
      <w:r>
        <w:rPr>
          <w:rFonts w:ascii="Times New Roman" w:hAnsi="Times New Roman"/>
          <w:sz w:val="24"/>
        </w:rPr>
        <w:t xml:space="preserve"> </w:t>
      </w:r>
      <w:r>
        <w:rPr>
          <w:rFonts w:ascii="Times New Roman" w:hAnsi="Times New Roman"/>
          <w:sz w:val="24"/>
        </w:rPr>
        <w:t xml:space="preserve">study-area peaking fleet sized on the Stated Policies demand path;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identifies the markets in which hydrogen undercuts the gas peaker.</w:t>
      </w:r>
      <w:r>
        <w:rPr>
          <w:rFonts w:ascii="Times New Roman" w:hAnsi="Times New Roman"/>
          <w:sz w:val="24"/>
        </w:rPr>
        <w:t xml:space="preserve"> </w:t>
      </w:r>
      <w:r>
        <w:rPr>
          <w:rFonts w:ascii="Times New Roman" w:hAnsi="Times New Roman"/>
          <w:sz w:val="24"/>
        </w:rPr>
        <w:t xml:space="preserve">To test hydrogen as a cold-snap peaker when air-source heat-pump COP declines, we compare</w:t>
      </w:r>
      <w:r>
        <w:rPr>
          <w:rFonts w:ascii="Times New Roman" w:hAnsi="Times New Roman"/>
          <w:sz w:val="24"/>
        </w:rPr>
        <w:t xml:space="preserve"> </w:t>
      </w:r>
      <w:r>
        <w:rPr>
          <w:rFonts w:ascii="Times New Roman" w:hAnsi="Times New Roman"/>
          <w:sz w:val="24"/>
        </w:rPr>
        <w:t xml:space="preserve">its SRMC with the competing unit in the building, district-heat and power-sector peak</w:t>
      </w:r>
      <w:r>
        <w:rPr>
          <w:rFonts w:ascii="Times New Roman" w:hAnsi="Times New Roman"/>
          <w:sz w:val="24"/>
        </w:rPr>
        <w:t xml:space="preserve"> </w:t>
      </w:r>
      <w:r>
        <w:rPr>
          <w:rFonts w:ascii="Times New Roman" w:hAnsi="Times New Roman"/>
          <w:sz w:val="24"/>
        </w:rPr>
        <w:t xml:space="preserve">calculations. The scarcity electricity price the building peak is judged against comes from the power sector’s merit order, averaging €215–307/MWh,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 carbon-pricing ambition in every arena, reaching 14 of 29 countries at the building winter peak, seven in district heating and seven in the power sector under H2 Push. Under the sensitivity excluding hydrogen last-mile distribution and using the residential rather than wholesale gas tariff, the building-winter-peak count becomes 16 and the district-heat-peak count becomes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gives dispatch-supported potentials of 0, 0.6, 7.5 and 9.0 per cent of study-area residential heat under the four scenarios respectively. These are compared with, rather than imposed on, the exogenous adoption settings of 0, 5, 3 and 8 per cent. The largest mismatch is under Stated Policies, whose setting exceeds its dispatch-supported potential by 4.4 percentage points, compared with 0, 5.1, 7.9 and 9.3 under the sensitivity excluding hydrogen last-mile distribution and using the residential rather than wholesale gas tariff.</w:t>
      </w:r>
    </w:p>
    <w:p>
      <w:pPr>
        <w:pStyle w:val="BodyText"/>
      </w:pPr>
      <w:r>
        <w:rPr>
          <w:rFonts w:ascii="Times New Roman" w:hAnsi="Times New Roman"/>
          <w:sz w:val="24"/>
        </w:rPr>
        <w:t xml:space="preserve">The model prices the marginal dispatchable units using literature-based short-run costs</w:t>
      </w:r>
      <w:r>
        <w:rPr>
          <w:rFonts w:ascii="Times New Roman" w:hAnsi="Times New Roman"/>
          <w:sz w:val="24"/>
        </w:rPr>
        <w:t xml:space="preserve"> </w:t>
      </w:r>
      <w:r>
        <w:rPr>
          <w:rFonts w:ascii="Times New Roman" w:hAnsi="Times New Roman"/>
          <w:sz w:val="24"/>
        </w:rPr>
        <w:t xml:space="preserve">for the technologies below them in the merit order. The medians quoted here are H2 Push,</w:t>
      </w:r>
      <w:r>
        <w:rPr>
          <w:rFonts w:ascii="Times New Roman" w:hAnsi="Times New Roman"/>
          <w:sz w:val="24"/>
        </w:rPr>
        <w:t xml:space="preserve"> </w:t>
      </w:r>
      <w:r>
        <w:rPr>
          <w:rFonts w:ascii="Times New Roman" w:hAnsi="Times New Roman"/>
          <w:sz w:val="24"/>
        </w:rPr>
        <w:t xml:space="preserve">and Net Zero holds the same ordering with a narrower cavern advantage. Under the</w:t>
      </w:r>
      <w:r>
        <w:rPr>
          <w:rFonts w:ascii="Times New Roman" w:hAnsi="Times New Roman"/>
          <w:sz w:val="24"/>
        </w:rPr>
        <w:t xml:space="preserve"> </w:t>
      </w:r>
      <w:r>
        <w:rPr>
          <w:rFonts w:ascii="Times New Roman" w:hAnsi="Times New Roman"/>
          <w:sz w:val="24"/>
        </w:rPr>
        <w:t xml:space="preserve">equal-efficiency series used for the headline winner count, the hydrogen turbine’s</w:t>
      </w:r>
      <w:r>
        <w:rPr>
          <w:rFonts w:ascii="Times New Roman" w:hAnsi="Times New Roman"/>
          <w:sz w:val="24"/>
        </w:rPr>
        <w:t xml:space="preserve"> </w:t>
      </w:r>
      <w:r>
        <w:rPr>
          <w:rFonts w:ascii="Times New Roman" w:hAnsi="Times New Roman"/>
          <w:sz w:val="24"/>
        </w:rPr>
        <w:t xml:space="preserve">cross-country median is about €286/MWh-e, approximately €30/MWh-e above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carbon-priced gas peaker at €256/MWh-e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t xml:space="preserve">Gas is therefore the cheaper firm unit in the typical market. Both turbines are evaluated</w:t>
      </w:r>
      <w:r>
        <w:rPr>
          <w:rFonts w:ascii="Times New Roman" w:hAnsi="Times New Roman"/>
          <w:sz w:val="24"/>
        </w:rPr>
        <w:t xml:space="preserve"> </w:t>
      </w:r>
      <w:r>
        <w:rPr>
          <w:rFonts w:ascii="Times New Roman" w:hAnsi="Times New Roman"/>
          <w:sz w:val="24"/>
        </w:rPr>
        <w:t xml:space="preserve">on the high-carbon path. On the central carbon path, the gas peaker is about</w:t>
      </w:r>
      <w:r>
        <w:rPr>
          <w:rFonts w:ascii="Times New Roman" w:hAnsi="Times New Roman"/>
          <w:sz w:val="24"/>
        </w:rPr>
        <w:t xml:space="preserve"> </w:t>
      </w:r>
      <w:r>
        <w:rPr>
          <w:rFonts w:ascii="Times New Roman" w:hAnsi="Times New Roman"/>
          <w:sz w:val="24"/>
        </w:rPr>
        <w:t xml:space="preserve">€181/MWh-e and the cavern advantage narrows to a few euros, so the headline winner</w:t>
      </w:r>
      <w:r>
        <w:rPr>
          <w:rFonts w:ascii="Times New Roman" w:hAnsi="Times New Roman"/>
          <w:sz w:val="24"/>
        </w:rPr>
        <w:t xml:space="preserve"> </w:t>
      </w:r>
      <w:r>
        <w:rPr>
          <w:rFonts w:ascii="Times New Roman" w:hAnsi="Times New Roman"/>
          <w:sz w:val="24"/>
        </w:rPr>
        <w:t xml:space="preserve">count is conditional on the carbon path, whereas the base-load ordering is not</w:t>
      </w:r>
      <w:r>
        <w:rPr>
          <w:rFonts w:ascii="Times New Roman" w:hAnsi="Times New Roman"/>
          <w:sz w:val="24"/>
        </w:rPr>
        <w:t xml:space="preserve"> </w:t>
      </w:r>
      <w:r>
        <w:rPr>
          <w:rFonts w:ascii="Times New Roman" w:hAnsi="Times New Roman"/>
          <w:sz w:val="24"/>
        </w:rPr>
        <w:t xml:space="preserve">(Supplementary Section S1.3). Under the evolving-efficiency sensitivity, hydrogen</w:t>
      </w:r>
      <w:r>
        <w:rPr>
          <w:rFonts w:ascii="Times New Roman" w:hAnsi="Times New Roman"/>
          <w:sz w:val="24"/>
        </w:rPr>
        <w:t xml:space="preserve"> </w:t>
      </w:r>
      <w:r>
        <w:rPr>
          <w:rFonts w:ascii="Times New Roman" w:hAnsi="Times New Roman"/>
          <w:sz w:val="24"/>
        </w:rPr>
        <w:t xml:space="preserve">receives the higher assumed turbine efficiency; the hydrogen and gas medians converge to</w:t>
      </w:r>
      <w:r>
        <w:rPr>
          <w:rFonts w:ascii="Times New Roman" w:hAnsi="Times New Roman"/>
          <w:sz w:val="24"/>
        </w:rPr>
        <w:t xml:space="preserve"> </w:t>
      </w:r>
      <w:r>
        <w:rPr>
          <w:rFonts w:ascii="Times New Roman" w:hAnsi="Times New Roman"/>
          <w:sz w:val="24"/>
        </w:rPr>
        <w:t xml:space="preserve">approximately €238 and €239/MWh-e, respectively, and the hydrogen winner count</w:t>
      </w:r>
      <w:r>
        <w:rPr>
          <w:rFonts w:ascii="Times New Roman" w:hAnsi="Times New Roman"/>
          <w:sz w:val="24"/>
        </w:rPr>
        <w:t xml:space="preserve"> </w:t>
      </w:r>
      <w:r>
        <w:rPr>
          <w:rFonts w:ascii="Times New Roman" w:hAnsi="Times New Roman"/>
          <w:sz w:val="24"/>
        </w:rPr>
        <w:t xml:space="preserve">rises to 15, or eight without the backbone discount, and is no longer confined to cavern</w:t>
      </w:r>
      <w:r>
        <w:rPr>
          <w:rFonts w:ascii="Times New Roman" w:hAnsi="Times New Roman"/>
          <w:sz w:val="24"/>
        </w:rPr>
        <w:t xml:space="preserve"> </w:t>
      </w:r>
      <w:r>
        <w:rPr>
          <w:rFonts w:ascii="Times New Roman" w:hAnsi="Times New Roman"/>
          <w:sz w:val="24"/>
        </w:rPr>
        <w:t xml:space="preserve">geology. Capital recovery is evaluated separately under the evolving-efficiency</w:t>
      </w:r>
      <w:r>
        <w:rPr>
          <w:rFonts w:ascii="Times New Roman" w:hAnsi="Times New Roman"/>
          <w:sz w:val="24"/>
        </w:rPr>
        <w:t xml:space="preserve"> </w:t>
      </w:r>
      <w:r>
        <w:rPr>
          <w:rFonts w:ascii="Times New Roman" w:hAnsi="Times New Roman"/>
          <w:sz w:val="24"/>
        </w:rPr>
        <w:t xml:space="preserve">assumptions for the five of the seven headline cavern markets that build peaking capacity.</w:t>
      </w:r>
      <w:r>
        <w:rPr>
          <w:rFonts w:ascii="Times New Roman" w:hAnsi="Times New Roman"/>
          <w:sz w:val="24"/>
        </w:rPr>
        <w:t xml:space="preserve"> </w:t>
      </w:r>
      <w:r>
        <w:rPr>
          <w:rFonts w:ascii="Times New Roman" w:hAnsi="Times New Roman"/>
          <w:sz w:val="24"/>
        </w:rPr>
        <w:t xml:space="preserve">The seven-market headline dispatch count and the capital-recovery ratios therefore address</w:t>
      </w:r>
      <w:r>
        <w:rPr>
          <w:rFonts w:ascii="Times New Roman" w:hAnsi="Times New Roman"/>
          <w:sz w:val="24"/>
        </w:rPr>
        <w:t xml:space="preserve"> </w:t>
      </w:r>
      <w:r>
        <w:rPr>
          <w:rFonts w:ascii="Times New Roman" w:hAnsi="Times New Roman"/>
          <w:sz w:val="24"/>
        </w:rPr>
        <w:t xml:space="preserve">different questions. In the seven headline cavern markets, the hydrogen turbine costs</w:t>
      </w:r>
      <w:r>
        <w:rPr>
          <w:rFonts w:ascii="Times New Roman" w:hAnsi="Times New Roman"/>
          <w:sz w:val="24"/>
        </w:rPr>
        <w:t xml:space="preserve"> </w:t>
      </w:r>
      <w:r>
        <w:rPr>
          <w:rFonts w:ascii="Times New Roman" w:hAnsi="Times New Roman"/>
          <w:sz w:val="24"/>
        </w:rPr>
        <w:t xml:space="preserve">€168–184/MWh-e, €72–89/MWh-e below the gas peaker; across the 22 non-cavern</w:t>
      </w:r>
      <w:r>
        <w:rPr>
          <w:rFonts w:ascii="Times New Roman" w:hAnsi="Times New Roman"/>
          <w:sz w:val="24"/>
        </w:rPr>
        <w:t xml:space="preserve"> </w:t>
      </w:r>
      <w:r>
        <w:rPr>
          <w:rFonts w:ascii="Times New Roman" w:hAnsi="Times New Roman"/>
          <w:sz w:val="24"/>
        </w:rPr>
        <w:t xml:space="preserve">markets it is approximately €36/MWh-e more expensive.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Denmark merit-order prices under H2 Push, shown against the study-area peaking fleet sized on the Stated Policies demand path.</w:t>
      </w:r>
      <w:r>
        <w:rPr>
          <w:rFonts w:ascii="Times New Roman" w:hAnsi="Times New Roman"/>
          <w:sz w:val="24"/>
        </w:rPr>
        <w:t xml:space="preserve"> </w:t>
      </w:r>
      <w:r>
        <w:rPr>
          <w:rFonts w:ascii="Times New Roman" w:hAnsi="Times New Roman"/>
          <w:sz w:val="24"/>
        </w:rPr>
        <w:t xml:space="preserve">Costs are country-specific; capacities are study-area totals. Short-run marginal cost includes fuel and carbon but excludes capital cost. The headline comparison uses equal turbine efficiencies.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evolving-efficiency sensitivity puts the two machines at €142 and €241/MWh-e, a different comparison from the medians above. Hydro carries no capacity figure because only a whole-fleet series is available. Omitted from the bars are 3 GW of coal, 421 GW of batteries and 195 GW of combined cycle. Batteries deplete over a multi-day event, so only the combined cycle counts as sustained firm capacity (Supplementary Section S2.4). Dispatchable capacities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 Netherlands, Romania and Poland, followed by France and Germany,</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which are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They are not the seven markets in which hydrogen</w:t>
      </w:r>
      <w:r>
        <w:rPr>
          <w:rFonts w:ascii="Times New Roman" w:hAnsi="Times New Roman"/>
          <w:sz w:val="24"/>
        </w:rPr>
        <w:t xml:space="preserve"> </w:t>
      </w:r>
      <w:r>
        <w:rPr>
          <w:rFonts w:ascii="Times New Roman" w:hAnsi="Times New Roman"/>
          <w:sz w:val="24"/>
        </w:rPr>
        <w:t xml:space="preserve">wins the base-load comparison.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cavern classifications move it, since including Iberia</w:t>
      </w:r>
      <w:r>
        <w:rPr>
          <w:rFonts w:ascii="Times New Roman" w:hAnsi="Times New Roman"/>
          <w:sz w:val="24"/>
        </w:rPr>
        <w:t xml:space="preserve"> </w:t>
      </w:r>
      <w:r>
        <w:rPr>
          <w:rFonts w:ascii="Times New Roman" w:hAnsi="Times New Roman"/>
          <w:sz w:val="24"/>
        </w:rPr>
        <w:t xml:space="preserve">gives nine and restricting France to its northern basins six. Provenance moves it</w:t>
      </w:r>
      <w:r>
        <w:rPr>
          <w:rFonts w:ascii="Times New Roman" w:hAnsi="Times New Roman"/>
          <w:sz w:val="24"/>
        </w:rPr>
        <w:t xml:space="preserve"> </w:t>
      </w:r>
      <w:r>
        <w:rPr>
          <w:rFonts w:ascii="Times New Roman" w:hAnsi="Times New Roman"/>
          <w:sz w:val="24"/>
        </w:rPr>
        <w:t xml:space="preserve">further. With a uniform blue-hydrogen price of €81/MWh across Europe, the turbine</w:t>
      </w:r>
      <w:r>
        <w:rPr>
          <w:rFonts w:ascii="Times New Roman" w:hAnsi="Times New Roman"/>
          <w:sz w:val="24"/>
        </w:rPr>
        <w:t xml:space="preserve"> </w:t>
      </w:r>
      <w:r>
        <w:rPr>
          <w:rFonts w:ascii="Times New Roman" w:hAnsi="Times New Roman"/>
          <w:sz w:val="24"/>
        </w:rPr>
        <w:t xml:space="preserve">reaches €289/MWh-e and all seven headline power-sector wins reverse. Scaling each</w:t>
      </w:r>
      <w:r>
        <w:rPr>
          <w:rFonts w:ascii="Times New Roman" w:hAnsi="Times New Roman"/>
          <w:sz w:val="24"/>
        </w:rPr>
        <w:t xml:space="preserve"> </w:t>
      </w:r>
      <w:r>
        <w:rPr>
          <w:rFonts w:ascii="Times New Roman" w:hAnsi="Times New Roman"/>
          <w:sz w:val="24"/>
        </w:rPr>
        <w:t xml:space="preserve">country’s green-hydrogen price by the 81/50 ratio instead preserves hydrogen advantages</w:t>
      </w:r>
      <w:r>
        <w:rPr>
          <w:rFonts w:ascii="Times New Roman" w:hAnsi="Times New Roman"/>
          <w:sz w:val="24"/>
        </w:rPr>
        <w:t xml:space="preserve"> </w:t>
      </w:r>
      <w:r>
        <w:rPr>
          <w:rFonts w:ascii="Times New Roman" w:hAnsi="Times New Roman"/>
          <w:sz w:val="24"/>
        </w:rPr>
        <w:t xml:space="preserve">of €30–57/MWh-e in those seven markets (Supplementary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at the central scarcity margin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Under the</w:t>
      </w:r>
      <w:r>
        <w:rPr>
          <w:rFonts w:ascii="Times New Roman" w:hAnsi="Times New Roman"/>
          <w:sz w:val="24"/>
        </w:rPr>
        <w:t xml:space="preserve"> </w:t>
      </w:r>
      <w:r>
        <w:rPr>
          <w:rFonts w:ascii="Times New Roman" w:hAnsi="Times New Roman"/>
          <w:sz w:val="24"/>
        </w:rPr>
        <w:t xml:space="preserve">fixed scarcity-margin screen, a hydrogen unit that is the cheaper firm technology is</w:t>
      </w:r>
      <w:r>
        <w:rPr>
          <w:rFonts w:ascii="Times New Roman" w:hAnsi="Times New Roman"/>
          <w:sz w:val="24"/>
        </w:rPr>
        <w:t xml:space="preserve"> </w:t>
      </w:r>
      <w:r>
        <w:rPr>
          <w:rFonts w:ascii="Times New Roman" w:hAnsi="Times New Roman"/>
          <w:sz w:val="24"/>
        </w:rPr>
        <w:t xml:space="preserve">assigned a price equal to its SRMC plus the assumed scarcity margin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Its modelled scarcity rent is therefore</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r>
                      <m:rPr>
                        <m:sty m:val="p"/>
                      </m:rPr>
                      <m:t>/</m:t>
                    </m:r>
                    <m:r>
                      <m:t>1000</m:t>
                    </m:r>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Because 1 kW operating for</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hours produces</w:t>
      </w:r>
      <w:r>
        <w:rPr>
          <w:rFonts w:ascii="Times New Roman" w:hAnsi="Times New Roman"/>
          <w:sz w:val="24"/>
        </w:rPr>
        <w:t xml:space="preserve"> </w:t>
      </w:r>
      <m:oMath>
        <m:r>
          <m:rPr>
            <m:sty m:val="p"/>
          </m:rPr>
          <m:t>FLH/</m:t>
        </m:r>
        <m:r>
          <m:t>1</m:t>
        </m:r>
        <m:r>
          <m:rPr>
            <m:sty m:val="p"/>
          </m:rPr>
          <m:t>,</m:t>
        </m:r>
        <m:r>
          <m:t>000</m:t>
        </m:r>
      </m:oMath>
      <w:r>
        <w:rPr>
          <w:rFonts w:ascii="Times New Roman" w:hAnsi="Times New Roman"/>
          <w:sz w:val="24"/>
        </w:rPr>
        <w:t xml:space="preserve"> MWh per year, the numerator is annual scarcity rent in €/kW-yr, matching the annualised capital-and-fixed-operating charge in the denominator. Under the modelled fixed scarcity-margin screen, at the central margin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 every modelled country and scenario, so no tested market reaches full peaker-capital recovery even where hydrogen’s operating cost wins the cold snap. The shortfall, rather than its size, is the robust result, holding across the tested scarcity-margin range and every weather variant in 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€51–66/kW-yr in the central case, 4.4–17.4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 tested market reaches the 100 per cent recovery threshold required for private finance over the €30–120/MWh scarcity-margin range,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An explicit unit-commitment cross-check produces 2.8 GW more peaking capacity and 160 full-load hours, compared with 139 hours in the reduced-form screen. The additional capacity arises from the unit-commitment sizing pass, which adds capacity in Romania. The higher utilisation increases recovered rent and therefore cuts against the missing-money finding.</w:t>
      </w:r>
    </w:p>
    <w:p>
      <w:pPr>
        <w:pStyle w:val="BodyText"/>
      </w:pPr>
      <w:r>
        <w:rPr>
          <w:rFonts w:ascii="Times New Roman" w:hAnsi="Times New Roman"/>
          <w:sz w:val="24"/>
        </w:rPr>
        <w:t xml:space="preserve">The peaking fleet is large in capacity but small in annual energy.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Using each scenario’s own demand path with the same technology stack and weather year, required peaking capacity ranges from 242 to 278 GW and utilisation from</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the combined-cycle-plus-peaker thermal fleet is about 473 GW or 53 per cent of peak, and the increment is what hydrogen competes for. EU pooling takes the requirement to an idealised copperplate lower bound of 239 GW (Supplementary Section S2.4). However, 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 demand, or about 1.2 per cent with non-heat demand held flat rather than grown 1.40-fold. It runs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Hydrogen wins operating-cost dispatch in up to 7 of 29 district-heat markets under the</w:t>
      </w:r>
      <w:r>
        <w:rPr>
          <w:rFonts w:ascii="Times New Roman" w:hAnsi="Times New Roman"/>
          <w:sz w:val="24"/>
        </w:rPr>
        <w:t xml:space="preserve"> </w:t>
      </w:r>
      <w:r>
        <w:rPr>
          <w:rFonts w:ascii="Times New Roman" w:hAnsi="Times New Roman"/>
          <w:sz w:val="24"/>
        </w:rPr>
        <w:t xml:space="preserve">symmetric treatment and in 20 under the sensitivity excluding hydrogen last-mile</w:t>
      </w:r>
      <w:r>
        <w:rPr>
          <w:rFonts w:ascii="Times New Roman" w:hAnsi="Times New Roman"/>
          <w:sz w:val="24"/>
        </w:rPr>
        <w:t xml:space="preserve"> </w:t>
      </w:r>
      <w:r>
        <w:rPr>
          <w:rFonts w:ascii="Times New Roman" w:hAnsi="Times New Roman"/>
          <w:sz w:val="24"/>
        </w:rPr>
        <w:t xml:space="preserve">distribution and using the residential rather than wholesale gas tariff.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Under the sensitivity excluding hydrogen last-mile distribution and using the residential rather than wholesale gas tariff, the building-peak and district-heat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raises capacity-weighted recovery from 8.7 per cent to about 51 per cent. Recovery</w:t>
      </w:r>
      <w:r>
        <w:rPr>
          <w:rFonts w:ascii="Times New Roman" w:hAnsi="Times New Roman"/>
          <w:sz w:val="24"/>
        </w:rPr>
        <w:t xml:space="preserve"> </w:t>
      </w:r>
      <w:r>
        <w:rPr>
          <w:rFonts w:ascii="Times New Roman" w:hAnsi="Times New Roman"/>
          <w:sz w:val="24"/>
        </w:rPr>
        <w:t xml:space="preserve">remains below 100 per cent, but its estimated magnitude is therefore sensitive to the</w:t>
      </w:r>
      <w:r>
        <w:rPr>
          <w:rFonts w:ascii="Times New Roman" w:hAnsi="Times New Roman"/>
          <w:sz w:val="24"/>
        </w:rPr>
        <w:t xml:space="preserve"> </w:t>
      </w:r>
      <w:r>
        <w:rPr>
          <w:rFonts w:ascii="Times New Roman" w:hAnsi="Times New Roman"/>
          <w:sz w:val="24"/>
        </w:rPr>
        <w:t xml:space="preserve">treatment of shortage hours.</w:t>
      </w:r>
    </w:p>
    <w:p>
      <w:pPr>
        <w:pStyle w:val="BodyText"/>
      </w:pPr>
      <w:r>
        <w:rPr>
          <w:rFonts w:ascii="Times New Roman" w:hAnsi="Times New Roman"/>
          <w:sz w:val="24"/>
        </w:rPr>
        <w:t xml:space="preserve">Third, the modelled energy-only scarcity-margin screen does not represent any single real</w:t>
      </w:r>
      <w:r>
        <w:rPr>
          <w:rFonts w:ascii="Times New Roman" w:hAnsi="Times New Roman"/>
          <w:sz w:val="24"/>
        </w:rPr>
        <w:t xml:space="preserve"> </w:t>
      </w:r>
      <w:r>
        <w:rPr>
          <w:rFonts w:ascii="Times New Roman" w:hAnsi="Times New Roman"/>
          <w:sz w:val="24"/>
        </w:rPr>
        <w:t xml:space="preserve">market, and three of the seven markets already operate a capacity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includes an emissions condition, but it</w:t>
      </w:r>
      <w:r>
        <w:rPr>
          <w:rFonts w:ascii="Times New Roman" w:hAnsi="Times New Roman"/>
          <w:sz w:val="24"/>
        </w:rPr>
        <w:t xml:space="preserve"> </w:t>
      </w:r>
      <w:r>
        <w:rPr>
          <w:rFonts w:ascii="Times New Roman" w:hAnsi="Times New Roman"/>
          <w:sz w:val="24"/>
        </w:rPr>
        <w:t xml:space="preserve">does not bind for a 2050 build under the model assumptions. Article 22(4) of the</w:t>
      </w:r>
      <w:r>
        <w:rPr>
          <w:rFonts w:ascii="Times New Roman" w:hAnsi="Times New Roman"/>
          <w:sz w:val="24"/>
        </w:rPr>
        <w:t xml:space="preserve"> </w:t>
      </w:r>
      <w:r>
        <w:rPr>
          <w:rFonts w:ascii="Times New Roman" w:hAnsi="Times New Roman"/>
          <w:sz w:val="24"/>
        </w:rPr>
        <w:t xml:space="preserve">Electricity Regulation caps a mechanism’s payments at 550 gCO</w:t>
      </w:r>
      <w:r>
        <w:rPr>
          <w:vertAlign w:val="subscript"/>
        </w:rPr>
        <w:t xml:space="preserve">2</w:t>
      </w:r>
      <w:r>
        <w:rPr>
          <w:rFonts w:ascii="Times New Roman" w:hAnsi="Times New Roman"/>
          <w:sz w:val="24"/>
        </w:rPr>
        <w:t xml:space="preserve">/kWh-e and adds a</w:t>
      </w:r>
      <w:r>
        <w:rPr>
          <w:rFonts w:ascii="Times New Roman" w:hAnsi="Times New Roman"/>
          <w:sz w:val="24"/>
        </w:rPr>
        <w:t xml:space="preserve"> </w:t>
      </w:r>
      <w:r>
        <w:rPr>
          <w:rFonts w:ascii="Times New Roman" w:hAnsi="Times New Roman"/>
          <w:sz w:val="24"/>
        </w:rPr>
        <w:t xml:space="preserve">350 kgCO</w:t>
      </w:r>
      <w:r>
        <w:rPr>
          <w:vertAlign w:val="subscript"/>
        </w:rPr>
        <w:t xml:space="preserve">2</w:t>
      </w:r>
      <w:r>
        <w:rPr>
          <w:rFonts w:ascii="Times New Roman" w:hAnsi="Times New Roman"/>
          <w:sz w:val="24"/>
        </w:rPr>
        <w:t xml:space="preserve">/kWe-yr annual limb that reaches only capacity 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 faces the rate limb alone.</w:t>
      </w:r>
      <w:r>
        <w:rPr>
          <w:rFonts w:ascii="Times New Roman" w:hAnsi="Times New Roman"/>
          <w:sz w:val="24"/>
        </w:rPr>
        <w:t xml:space="preserve"> </w:t>
      </w:r>
      <w:r>
        <w:rPr>
          <w:rFonts w:ascii="Times New Roman" w:hAnsi="Times New Roman"/>
          <w:sz w:val="24"/>
        </w:rPr>
        <w:t xml:space="preserve">Using the model’s emission factor, an unabated open-cycle turbine emits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below the 550 gCO</w:t>
      </w:r>
      <w:r>
        <w:rPr>
          <w:vertAlign w:val="subscript"/>
        </w:rPr>
        <w:t xml:space="preserve">2</w:t>
      </w:r>
      <w:r>
        <w:rPr>
          <w:rFonts w:ascii="Times New Roman" w:hAnsi="Times New Roman"/>
          <w:sz w:val="24"/>
        </w:rPr>
        <w:t xml:space="preserve">/kWh-e threshold. Article 22(4) therefore does not</w:t>
      </w:r>
      <w:r>
        <w:rPr>
          <w:rFonts w:ascii="Times New Roman" w:hAnsi="Times New Roman"/>
          <w:sz w:val="24"/>
        </w:rPr>
        <w:t xml:space="preserve"> </w:t>
      </w:r>
      <w:r>
        <w:rPr>
          <w:rFonts w:ascii="Times New Roman" w:hAnsi="Times New Roman"/>
          <w:sz w:val="24"/>
        </w:rPr>
        <w:t xml:space="preserve">distinguish between the technologies in this case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with the hydrogen-ready turbine at</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against €450/kW for gas, a technology-neutral mechanism procures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resulting mix informs the comparison between district heat and heat pumps, but not hydrogen, because hydrogen is fixed at zero in 27 countries and at its ceiling in the other two. The 52.9 per cent district-heat share is the least-cost solution conditional on excluding new-connection costs, and not an unconstrained system optimum. Supplementary Section S2.8 reports three interpretive bounds. The largest limitation is the omitted district-heat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differs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under this formulation.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Switzerland’s clean grid limits hydrogen’s</w:t>
      </w:r>
      <w:r>
        <w:rPr>
          <w:rFonts w:ascii="Times New Roman" w:hAnsi="Times New Roman"/>
          <w:sz w:val="24"/>
        </w:rPr>
        <w:t xml:space="preserve"> </w:t>
      </w:r>
      <w:r>
        <w:rPr>
          <w:rFonts w:ascii="Times New Roman" w:hAnsi="Times New Roman"/>
          <w:sz w:val="24"/>
        </w:rPr>
        <w:t xml:space="preserve">carbon advantage, while the absence of salt caverns removes its low-cost-storage</w:t>
      </w:r>
      <w:r>
        <w:rPr>
          <w:rFonts w:ascii="Times New Roman" w:hAnsi="Times New Roman"/>
          <w:sz w:val="24"/>
        </w:rPr>
        <w:t xml:space="preserve"> </w:t>
      </w:r>
      <w:r>
        <w:rPr>
          <w:rFonts w:ascii="Times New Roman" w:hAnsi="Times New Roman"/>
          <w:sz w:val="24"/>
        </w:rPr>
        <w:t xml:space="preserve">advantage.</w:t>
      </w:r>
    </w:p>
    <w:p>
      <w:pPr>
        <w:pStyle w:val="BodyText"/>
      </w:pPr>
      <w:r>
        <w:rPr>
          <w:rFonts w:ascii="Times New Roman" w:hAnsi="Times New Roman"/>
          <w:sz w:val="24"/>
        </w:rPr>
        <w:t xml:space="preserve">On the endogenous arm, both turbines purchase fuel at wholesale prices, so retail levy</w:t>
      </w:r>
      <w:r>
        <w:rPr>
          <w:rFonts w:ascii="Times New Roman" w:hAnsi="Times New Roman"/>
          <w:sz w:val="24"/>
        </w:rPr>
        <w:t xml:space="preserve"> </w:t>
      </w:r>
      <w:r>
        <w:rPr>
          <w:rFonts w:ascii="Times New Roman" w:hAnsi="Times New Roman"/>
          <w:sz w:val="24"/>
        </w:rPr>
        <w:t xml:space="preserve">treatment does not affect the peaking comparison. Hydrogen loses the Swiss winter peak in</w:t>
      </w:r>
      <w:r>
        <w:rPr>
          <w:rFonts w:ascii="Times New Roman" w:hAnsi="Times New Roman"/>
          <w:sz w:val="24"/>
        </w:rPr>
        <w:t xml:space="preserve"> </w:t>
      </w:r>
      <w:r>
        <w:rPr>
          <w:rFonts w:ascii="Times New Roman" w:hAnsi="Times New Roman"/>
          <w:sz w:val="24"/>
        </w:rPr>
        <w:t xml:space="preserve">all four scenarios, at €135–236/MWh-heat compared with €62–90/MWh-heat for</w:t>
      </w:r>
      <w:r>
        <w:rPr>
          <w:rFonts w:ascii="Times New Roman" w:hAnsi="Times New Roman"/>
          <w:sz w:val="24"/>
        </w:rPr>
        <w:t xml:space="preserve"> </w:t>
      </w:r>
      <w:r>
        <w:rPr>
          <w:rFonts w:ascii="Times New Roman" w:hAnsi="Times New Roman"/>
          <w:sz w:val="24"/>
        </w:rPr>
        <w:t xml:space="preserve">the heat pump. The uncoupled 29-country comparison prices the H2 Push peak at</w:t>
      </w:r>
      <w:r>
        <w:rPr>
          <w:rFonts w:ascii="Times New Roman" w:hAnsi="Times New Roman"/>
          <w:sz w:val="24"/>
        </w:rPr>
        <w:t xml:space="preserve"> </w:t>
      </w:r>
      <w:r>
        <w:rPr>
          <w:rFonts w:ascii="Times New Roman" w:hAnsi="Times New Roman"/>
          <w:sz w:val="24"/>
        </w:rPr>
        <w:t xml:space="preserve">€155/MWh-heat without crediting the Swiss reservoir fleet, producing a hydrogen win;</w:t>
      </w:r>
      <w:r>
        <w:rPr>
          <w:rFonts w:ascii="Times New Roman" w:hAnsi="Times New Roman"/>
          <w:sz w:val="24"/>
        </w:rPr>
        <w:t xml:space="preserve"> </w:t>
      </w:r>
      <w:r>
        <w:rPr>
          <w:rFonts w:ascii="Times New Roman" w:hAnsi="Times New Roman"/>
          <w:sz w:val="24"/>
        </w:rPr>
        <w:t xml:space="preserve">crediting the reservoir fleet lowers the peak price to €90/MWh-heat and removes that</w:t>
      </w:r>
      <w:r>
        <w:rPr>
          <w:rFonts w:ascii="Times New Roman" w:hAnsi="Times New Roman"/>
          <w:sz w:val="24"/>
        </w:rPr>
        <w:t xml:space="preserve"> </w:t>
      </w:r>
      <w:r>
        <w:rPr>
          <w:rFonts w:ascii="Times New Roman" w:hAnsi="Times New Roman"/>
          <w:sz w:val="24"/>
        </w:rPr>
        <w:t xml:space="preserve">win. The endogenous arm is therefore used for the Swiss peaking verdict, while the</w:t>
      </w:r>
      <w:r>
        <w:rPr>
          <w:rFonts w:ascii="Times New Roman" w:hAnsi="Times New Roman"/>
          <w:sz w:val="24"/>
        </w:rPr>
        <w:t xml:space="preserve"> </w:t>
      </w:r>
      <w:r>
        <w:rPr>
          <w:rFonts w:ascii="Times New Roman" w:hAnsi="Times New Roman"/>
          <w:sz w:val="24"/>
        </w:rPr>
        <w:t xml:space="preserve">uncoupled arm supplies the reported base-load results. The base-load gap is</w:t>
      </w:r>
      <w:r>
        <w:rPr>
          <w:rFonts w:ascii="Times New Roman" w:hAnsi="Times New Roman"/>
          <w:sz w:val="24"/>
        </w:rPr>
        <w:t xml:space="preserve"> </w:t>
      </w:r>
      <w:r>
        <w:rPr>
          <w:rFonts w:ascii="Times New Roman" w:hAnsi="Times New Roman"/>
          <w:sz w:val="24"/>
        </w:rPr>
        <w:t xml:space="preserve">€5.6/MWh on the uncoupled arm and €9.6/MWh on the endogenous arm. For</w:t>
      </w:r>
      <w:r>
        <w:rPr>
          <w:rFonts w:ascii="Times New Roman" w:hAnsi="Times New Roman"/>
          <w:sz w:val="24"/>
        </w:rPr>
        <w:t xml:space="preserve"> </w:t>
      </w:r>
      <w:r>
        <w:rPr>
          <w:rFonts w:ascii="Times New Roman" w:hAnsi="Times New Roman"/>
          <w:sz w:val="24"/>
        </w:rPr>
        <w:t xml:space="preserve">cross-market comparability, the arena counts remain on the uncoupled series: the symmetric</w:t>
      </w:r>
      <w:r>
        <w:rPr>
          <w:rFonts w:ascii="Times New Roman" w:hAnsi="Times New Roman"/>
          <w:sz w:val="24"/>
        </w:rPr>
        <w:t xml:space="preserve"> </w:t>
      </w:r>
      <w:r>
        <w:rPr>
          <w:rFonts w:ascii="Times New Roman" w:hAnsi="Times New Roman"/>
          <w:sz w:val="24"/>
        </w:rPr>
        <w:t xml:space="preserve">H2 Push building-peak count is 14 rather than the endogenous count of 13, and the</w:t>
      </w:r>
      <w:r>
        <w:rPr>
          <w:rFonts w:ascii="Times New Roman" w:hAnsi="Times New Roman"/>
          <w:sz w:val="24"/>
        </w:rPr>
        <w:t xml:space="preserve"> </w:t>
      </w:r>
      <w:r>
        <w:rPr>
          <w:rFonts w:ascii="Times New Roman" w:hAnsi="Times New Roman"/>
          <w:sz w:val="24"/>
        </w:rPr>
        <w:t xml:space="preserve">sensitivity excluding hydrogen last-mile distribution and using the residential rather</w:t>
      </w:r>
      <w:r>
        <w:rPr>
          <w:rFonts w:ascii="Times New Roman" w:hAnsi="Times New Roman"/>
          <w:sz w:val="24"/>
        </w:rPr>
        <w:t xml:space="preserve"> </w:t>
      </w:r>
      <w:r>
        <w:rPr>
          <w:rFonts w:ascii="Times New Roman" w:hAnsi="Times New Roman"/>
          <w:sz w:val="24"/>
        </w:rPr>
        <w:t xml:space="preserve">than wholesale gas tariff gives 16 rather than 15. Coupling is modelled only for</w:t>
      </w:r>
      <w:r>
        <w:rPr>
          <w:rFonts w:ascii="Times New Roman" w:hAnsi="Times New Roman"/>
          <w:sz w:val="24"/>
        </w:rPr>
        <w:t xml:space="preserve"> </w:t>
      </w:r>
      <w:r>
        <w:rPr>
          <w:rFonts w:ascii="Times New Roman" w:hAnsi="Times New Roman"/>
          <w:sz w:val="24"/>
        </w:rPr>
        <w:t xml:space="preserve">Switzerland, and the uncoupled series is the more hydrogen-favourable comparison.</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comparison is the least robust of the three: the number of markets in which the heat pump beats hydrogen ranges from 13 to 29 across the hydrogen-price paths tested. That sensitivity turns in part on a fiscal asymmetry that policy could remove. The power-peak win set is conditional on the equal-efficiency comparison and the binary cavern classification. Conditional on entry, the capital-recovery screen is more stable because it depends on utilisation, scarcity margin, WACC, fixed O&amp;M and turbine CAPEX. The peaking-capacity magnitude remains conditional on the single constructed weather year.</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European residential heat across 29 markets to 2050 in three operating roles. The tests address distinct questions but share some input assumptions. Seasonal-storage assumptions affect the base-load and dispatch rankings. Conditional on entry, however, the capital-recovery ratio contains no fuel- or storage-cost term; it depends on utilisation, scarcity margin, WACC, fixed O&amp;M and turbine CAPEX. Four findings follow.</w:t>
      </w:r>
    </w:p>
    <w:p>
      <w:pPr>
        <w:pStyle w:val="BodyText"/>
      </w:pPr>
      <w:r>
        <w:rPr>
          <w:rFonts w:ascii="Times New Roman" w:hAnsi="Times New Roman"/>
          <w:sz w:val="24"/>
        </w:rPr>
        <w:t xml:space="preserve">(1) On central 2050 levelised cost, the best heat pump delivers at €118.5/MWh,</w:t>
      </w:r>
      <w:r>
        <w:rPr>
          <w:rFonts w:ascii="Times New Roman" w:hAnsi="Times New Roman"/>
          <w:sz w:val="24"/>
        </w:rPr>
        <w:t xml:space="preserve"> </w:t>
      </w:r>
      <w:r>
        <w:rPr>
          <w:rFonts w:ascii="Times New Roman" w:hAnsi="Times New Roman"/>
          <w:sz w:val="24"/>
        </w:rPr>
        <w:t xml:space="preserve">compared with €122.8/MWh for the hydrogen boiler and €132.7/MWh for gas. Heat</w:t>
      </w:r>
      <w:r>
        <w:rPr>
          <w:rFonts w:ascii="Times New Roman" w:hAnsi="Times New Roman"/>
          <w:sz w:val="24"/>
        </w:rPr>
        <w:t xml:space="preserve"> </w:t>
      </w:r>
      <w:r>
        <w:rPr>
          <w:rFonts w:ascii="Times New Roman" w:hAnsi="Times New Roman"/>
          <w:sz w:val="24"/>
        </w:rPr>
        <w:t xml:space="preserve">pumps beat gas in 24 of the 29 markets under the central carbon path; the count ranges</w:t>
      </w:r>
      <w:r>
        <w:rPr>
          <w:rFonts w:ascii="Times New Roman" w:hAnsi="Times New Roman"/>
          <w:sz w:val="24"/>
        </w:rPr>
        <w:t xml:space="preserve"> </w:t>
      </w:r>
      <w:r>
        <w:rPr>
          <w:rFonts w:ascii="Times New Roman" w:hAnsi="Times New Roman"/>
          <w:sz w:val="24"/>
        </w:rPr>
        <w:t xml:space="preserve">from 19 to 29 across the carbon paths tested. Against hydrogen, heat pumps win in 22</w:t>
      </w:r>
      <w:r>
        <w:rPr>
          <w:rFonts w:ascii="Times New Roman" w:hAnsi="Times New Roman"/>
          <w:sz w:val="24"/>
        </w:rPr>
        <w:t xml:space="preserve"> </w:t>
      </w:r>
      <w:r>
        <w:rPr>
          <w:rFonts w:ascii="Times New Roman" w:hAnsi="Times New Roman"/>
          <w:sz w:val="24"/>
        </w:rPr>
        <w:t xml:space="preserve">markets when firm-generation cost is allocated pro rata to heating’s annual</w:t>
      </w:r>
      <w:r>
        <w:rPr>
          <w:rFonts w:ascii="Times New Roman" w:hAnsi="Times New Roman"/>
          <w:sz w:val="24"/>
        </w:rPr>
        <w:t xml:space="preserve"> </w:t>
      </w:r>
      <w:r>
        <w:rPr>
          <w:rFonts w:ascii="Times New Roman" w:hAnsi="Times New Roman"/>
          <w:sz w:val="24"/>
        </w:rPr>
        <w:t xml:space="preserve">electricity-demand share. Allocation by the change in peaking capacity gives 19 heat-pump</w:t>
      </w:r>
      <w:r>
        <w:rPr>
          <w:rFonts w:ascii="Times New Roman" w:hAnsi="Times New Roman"/>
          <w:sz w:val="24"/>
        </w:rPr>
        <w:t xml:space="preserve"> </w:t>
      </w:r>
      <w:r>
        <w:rPr>
          <w:rFonts w:ascii="Times New Roman" w:hAnsi="Times New Roman"/>
          <w:sz w:val="24"/>
        </w:rPr>
        <w:t xml:space="preserve">wins at the low bound and 17 at the high bound. The median 2050 country gap is</w:t>
      </w:r>
      <w:r>
        <w:rPr>
          <w:rFonts w:ascii="Times New Roman" w:hAnsi="Times New Roman"/>
          <w:sz w:val="24"/>
        </w:rPr>
        <w:t xml:space="preserve"> </w:t>
      </w:r>
      <w:r>
        <w:rPr>
          <w:rFonts w:ascii="Times New Roman" w:hAnsi="Times New Roman"/>
          <w:sz w:val="24"/>
        </w:rPr>
        <w:t xml:space="preserve">€15.4/MWh, while the mean weighted by 2025 country heat demand is €1.4/MWh</w:t>
      </w:r>
      <w:r>
        <w:rPr>
          <w:rFonts w:ascii="Times New Roman" w:hAnsi="Times New Roman"/>
          <w:sz w:val="24"/>
        </w:rPr>
        <w:t xml:space="preserve"> </w:t>
      </w:r>
      <w:r>
        <w:rPr>
          <w:rFonts w:ascii="Times New Roman" w:hAnsi="Times New Roman"/>
          <w:sz w:val="24"/>
        </w:rPr>
        <w:t xml:space="preserve">because the hydrogen-favouring markets are relatively large.</w:t>
      </w:r>
    </w:p>
    <w:p>
      <w:pPr>
        <w:pStyle w:val="BodyText"/>
      </w:pPr>
      <w:r>
        <w:rPr>
          <w:rFonts w:ascii="Times New Roman" w:hAnsi="Times New Roman"/>
          <w:sz w:val="24"/>
        </w:rPr>
        <w:t xml:space="preserve">(2) Under the central symmetric accounting, hydrogen wins the base-load comparison in</w:t>
      </w:r>
      <w:r>
        <w:rPr>
          <w:rFonts w:ascii="Times New Roman" w:hAnsi="Times New Roman"/>
          <w:sz w:val="24"/>
        </w:rPr>
        <w:t xml:space="preserve"> </w:t>
      </w:r>
      <w:r>
        <w:rPr>
          <w:rFonts w:ascii="Times New Roman" w:hAnsi="Times New Roman"/>
          <w:sz w:val="24"/>
        </w:rPr>
        <w:t xml:space="preserve">seven markets and heat pumps in 22. Across the hydrogen-price paths tested, the number of</w:t>
      </w:r>
      <w:r>
        <w:rPr>
          <w:rFonts w:ascii="Times New Roman" w:hAnsi="Times New Roman"/>
          <w:sz w:val="24"/>
        </w:rPr>
        <w:t xml:space="preserve"> </w:t>
      </w:r>
      <w:r>
        <w:rPr>
          <w:rFonts w:ascii="Times New Roman" w:hAnsi="Times New Roman"/>
          <w:sz w:val="24"/>
        </w:rPr>
        <w:t xml:space="preserve">heat-pump wins ranges from 13 to 29.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route</w:t>
      </w:r>
      <w:r>
        <w:rPr>
          <w:rFonts w:ascii="Times New Roman" w:hAnsi="Times New Roman"/>
          <w:sz w:val="24"/>
        </w:rPr>
        <w:t xml:space="preserve"> </w:t>
      </w:r>
      <w:r>
        <w:rPr>
          <w:rFonts w:ascii="Times New Roman" w:hAnsi="Times New Roman"/>
          <w:sz w:val="24"/>
        </w:rPr>
        <w:t xml:space="preserve">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A uniform blue-hydrogen price of €81/MWh removes</w:t>
      </w:r>
      <w:r>
        <w:rPr>
          <w:rFonts w:ascii="Times New Roman" w:hAnsi="Times New Roman"/>
          <w:sz w:val="24"/>
        </w:rPr>
        <w:t xml:space="preserve"> </w:t>
      </w:r>
      <w:r>
        <w:rPr>
          <w:rFonts w:ascii="Times New Roman" w:hAnsi="Times New Roman"/>
          <w:sz w:val="24"/>
        </w:rPr>
        <w:t xml:space="preserve">hydrogen’s advantage in all seven central green-hydrogen base-load markets. Scaling each</w:t>
      </w:r>
      <w:r>
        <w:rPr>
          <w:rFonts w:ascii="Times New Roman" w:hAnsi="Times New Roman"/>
          <w:sz w:val="24"/>
        </w:rPr>
        <w:t xml:space="preserve"> </w:t>
      </w:r>
      <w:r>
        <w:rPr>
          <w:rFonts w:ascii="Times New Roman" w:hAnsi="Times New Roman"/>
          <w:sz w:val="24"/>
        </w:rPr>
        <w:t xml:space="preserve">country’s green-hydrogen price by the 81/50 ratio instead leaves Denmark as the sole</w:t>
      </w:r>
      <w:r>
        <w:rPr>
          <w:rFonts w:ascii="Times New Roman" w:hAnsi="Times New Roman"/>
          <w:sz w:val="24"/>
        </w:rPr>
        <w:t xml:space="preserve"> </w:t>
      </w:r>
      <w:r>
        <w:rPr>
          <w:rFonts w:ascii="Times New Roman" w:hAnsi="Times New Roman"/>
          <w:sz w:val="24"/>
        </w:rPr>
        <w:t xml:space="preserve">hydrogen win. Levelling the carriers’ fiscal treatment moves the comparison in the same</w:t>
      </w:r>
      <w:r>
        <w:rPr>
          <w:rFonts w:ascii="Times New Roman" w:hAnsi="Times New Roman"/>
          <w:sz w:val="24"/>
        </w:rPr>
        <w:t xml:space="preserve"> </w:t>
      </w:r>
      <w:r>
        <w:rPr>
          <w:rFonts w:ascii="Times New Roman" w:hAnsi="Times New Roman"/>
          <w:sz w:val="24"/>
        </w:rPr>
        <w:t xml:space="preserve">direction, by an amount outside this study’s scope.</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a hydrogen-ready turbine capital cost of €600/kW, no tested market reaches full</w:t>
      </w:r>
      <w:r>
        <w:rPr>
          <w:rFonts w:ascii="Times New Roman" w:hAnsi="Times New Roman"/>
          <w:sz w:val="24"/>
        </w:rPr>
        <w:t xml:space="preserve"> </w:t>
      </w:r>
      <w:r>
        <w:rPr>
          <w:rFonts w:ascii="Times New Roman" w:hAnsi="Times New Roman"/>
          <w:sz w:val="24"/>
        </w:rPr>
        <w:t xml:space="preserve">peaker-capital recovery across the assumed scarcity margins. Capacity-weighted recovery is</w:t>
      </w:r>
      <w:r>
        <w:rPr>
          <w:rFonts w:ascii="Times New Roman" w:hAnsi="Times New Roman"/>
          <w:sz w:val="24"/>
        </w:rPr>
        <w:t xml:space="preserve"> </w:t>
      </w:r>
      <w:r>
        <w:rPr>
          <w:rFonts w:ascii="Times New Roman" w:hAnsi="Times New Roman"/>
          <w:sz w:val="24"/>
        </w:rPr>
        <w:t xml:space="preserve">about 9 per cent at the central 2050 margin and ranges from 4.4 to 17.4 per cent across</w:t>
      </w:r>
      <w:r>
        <w:rPr>
          <w:rFonts w:ascii="Times New Roman" w:hAnsi="Times New Roman"/>
          <w:sz w:val="24"/>
        </w:rPr>
        <w:t xml:space="preserve"> </w:t>
      </w:r>
      <w:r>
        <w:rPr>
          <w:rFonts w:ascii="Times New Roman" w:hAnsi="Times New Roman"/>
          <w:sz w:val="24"/>
        </w:rPr>
        <w:t xml:space="preserve">the tested margins. A standing payment of €31–63/kW-yr closes the modelled gap.</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2050 operational emissions reach 352 MtCO</w:t>
      </w:r>
      <w:r>
        <w:rPr>
          <w:vertAlign w:val="subscript"/>
        </w:rPr>
        <w:t xml:space="preserve">2</w:t>
      </w:r>
      <w:r>
        <w:rPr>
          <w:rFonts w:ascii="Times New Roman" w:hAnsi="Times New Roman"/>
          <w:sz w:val="24"/>
        </w:rPr>
        <w:t xml:space="preserve"> </w:t>
      </w:r>
      <w:r>
        <w:rPr>
          <w:rFonts w:ascii="Times New Roman" w:hAnsi="Times New Roman"/>
          <w:sz w:val="24"/>
        </w:rPr>
        <w:t xml:space="preserve">under Current Policies,</w:t>
      </w:r>
      <w:r>
        <w:rPr>
          <w:rFonts w:ascii="Times New Roman" w:hAnsi="Times New Roman"/>
          <w:sz w:val="24"/>
        </w:rPr>
        <w:t xml:space="preserve"> </w:t>
      </w:r>
      <w:r>
        <w:rPr>
          <w:rFonts w:ascii="Times New Roman" w:hAnsi="Times New Roman"/>
          <w:sz w:val="24"/>
        </w:rPr>
        <w:t xml:space="preserve">231 under Stated Policies, 10 under Net Zero and 123 under H2 Push. The differences are</w:t>
      </w:r>
      <w:r>
        <w:rPr>
          <w:rFonts w:ascii="Times New Roman" w:hAnsi="Times New Roman"/>
          <w:sz w:val="24"/>
        </w:rPr>
        <w:t xml:space="preserve"> </w:t>
      </w:r>
      <w:r>
        <w:rPr>
          <w:rFonts w:ascii="Times New Roman" w:hAnsi="Times New Roman"/>
          <w:sz w:val="24"/>
        </w:rPr>
        <w:t xml:space="preserve">driven principally by the fossil-phaseout lever.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 the widest margin across the warm south and east, undercutting hydrogen by about €99/MWh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tested market reaches full capital recovery across the assumed scarcity margins, and the modelled technology-neutral comparison procures unabated gas at the capex assumed here, so a payment conditioned on emissions is what selects hydrogen. Those figures let a capacity-mechanism designer weigh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At the assumed</w:t>
      </w:r>
      <w:r>
        <w:rPr>
          <w:rFonts w:ascii="Times New Roman" w:hAnsi="Times New Roman"/>
          <w:sz w:val="24"/>
        </w:rPr>
        <w:t xml:space="preserve"> </w:t>
      </w:r>
      <w:r>
        <w:rPr>
          <w:rFonts w:ascii="Times New Roman" w:hAnsi="Times New Roman"/>
          <w:sz w:val="24"/>
        </w:rPr>
        <w:t xml:space="preserve">gas-turbine emissions intensity, the Article 22(4) threshold does not distinguish the two</w:t>
      </w:r>
      <w:r>
        <w:rPr>
          <w:rFonts w:ascii="Times New Roman" w:hAnsi="Times New Roman"/>
          <w:sz w:val="24"/>
        </w:rPr>
        <w:t xml:space="preserve"> </w:t>
      </w:r>
      <w:r>
        <w:rPr>
          <w:rFonts w:ascii="Times New Roman" w:hAnsi="Times New Roman"/>
          <w:sz w:val="24"/>
        </w:rPr>
        <w:t xml:space="preserve">technologies; selection therefore requires a more restrictive emissions condition or an</w:t>
      </w:r>
      <w:r>
        <w:rPr>
          <w:rFonts w:ascii="Times New Roman" w:hAnsi="Times New Roman"/>
          <w:sz w:val="24"/>
        </w:rPr>
        <w:t xml:space="preserve"> </w:t>
      </w:r>
      <w:r>
        <w:rPr>
          <w:rFonts w:ascii="Times New Roman" w:hAnsi="Times New Roman"/>
          <w:sz w:val="24"/>
        </w:rPr>
        <w:t xml:space="preserve">equivalent premium (Section 3.4).</w:t>
      </w:r>
    </w:p>
    <w:p>
      <w:pPr>
        <w:pStyle w:val="BodyText"/>
      </w:pPr>
      <w:r>
        <w:rPr>
          <w:rFonts w:ascii="Times New Roman" w:hAnsi="Times New Roman"/>
          <w:sz w:val="24"/>
        </w:rPr>
        <w:t xml:space="preserve">(4) Within the model, the national scope-1 target is not reached through the price signal</w:t>
      </w:r>
      <w:r>
        <w:rPr>
          <w:rFonts w:ascii="Times New Roman" w:hAnsi="Times New Roman"/>
          <w:sz w:val="24"/>
        </w:rPr>
        <w:t xml:space="preserve"> </w:t>
      </w:r>
      <w:r>
        <w:rPr>
          <w:rFonts w:ascii="Times New Roman" w:hAnsi="Times New Roman"/>
          <w:sz w:val="24"/>
        </w:rPr>
        <w:t xml:space="preserve">alone in every country, so the four markets where the cap binds at 2050, and three more</w:t>
      </w:r>
      <w:r>
        <w:rPr>
          <w:rFonts w:ascii="Times New Roman" w:hAnsi="Times New Roman"/>
          <w:sz w:val="24"/>
        </w:rPr>
        <w:t xml:space="preserve"> </w:t>
      </w:r>
      <w:r>
        <w:rPr>
          <w:rFonts w:ascii="Times New Roman" w:hAnsi="Times New Roman"/>
          <w:sz w:val="24"/>
        </w:rPr>
        <w:t xml:space="preserve">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and their expected directions are detailed in Supplementary</w:t>
      </w:r>
      <w:r>
        <w:rPr>
          <w:rFonts w:ascii="Times New Roman" w:hAnsi="Times New Roman"/>
          <w:sz w:val="24"/>
        </w:rPr>
        <w:t xml:space="preserve"> </w:t>
      </w:r>
      <w:r>
        <w:rPr>
          <w:rFonts w:ascii="Times New Roman" w:hAnsi="Times New Roman"/>
          <w:sz w:val="24"/>
        </w:rPr>
        <w:t xml:space="preserve">Section S2.9. The largest is the weather construction described in</w:t>
      </w:r>
      <w:r>
        <w:rPr>
          <w:rFonts w:ascii="Times New Roman" w:hAnsi="Times New Roman"/>
          <w:sz w:val="24"/>
        </w:rPr>
        <w:t xml:space="preserve"> </w:t>
      </w:r>
      <w:r>
        <w:rPr>
          <w:rFonts w:ascii="Times New Roman" w:hAnsi="Times New Roman"/>
          <w:sz w:val="24"/>
        </w:rPr>
        <w:t xml:space="preserve">Section 2, which conditions the power-sector results. The 278 GW fleet, the</w:t>
      </w:r>
      <w:r>
        <w:rPr>
          <w:rFonts w:ascii="Times New Roman" w:hAnsi="Times New Roman"/>
          <w:sz w:val="24"/>
        </w:rPr>
        <w:t xml:space="preserve"> </w:t>
      </w:r>
      <w:r>
        <w:rPr>
          <w:rFonts w:ascii="Times New Roman" w:hAnsi="Times New Roman"/>
          <w:sz w:val="24"/>
        </w:rPr>
        <w:t xml:space="preserve">139 full-load hours, the €357 bn shortfall and the finding that no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reaches full capital recovery in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w:t>
      </w:r>
      <w:r>
        <w:rPr>
          <w:rFonts w:ascii="Times New Roman" w:hAnsi="Times New Roman"/>
          <w:sz w:val="24"/>
        </w:rPr>
        <w:t xml:space="preserve"> </w:t>
      </w:r>
      <w:r>
        <w:rPr>
          <w:rFonts w:ascii="Times New Roman" w:hAnsi="Times New Roman"/>
          <w:sz w:val="24"/>
        </w:rPr>
        <w:t xml:space="preserve">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 emissions ledger, resolve within-region heterogeneity, and price the 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for Hotmaps, Eurostat and GISCO are retrieved by the included download scripts. Two inputs require separate handling: the UK ONS TS044 accommodation-type table is a one-time manual download committed to the repository, whereas the EUBUCCO v0.2 building footprints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8" w:name="ref-Gabrielli2020"/>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28"/>
    <w:bookmarkStart w:id="130" w:name="ref-IEA2023switzerland"/>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29">
        <w:r>
          <w:rPr>
            <w:rStyle w:val="Hyperlink"/>
          </w:rPr>
          <w:t xml:space="preserve">https://www.iea.org/reports/switzerland-2023</w:t>
        </w:r>
      </w:hyperlink>
    </w:p>
    <w:bookmarkEnd w:id="130"/>
    <w:bookmarkStart w:id="132" w:name="ref-Hotmaps2020"/>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1">
        <w:r>
          <w:rPr>
            <w:rStyle w:val="Hyperlink"/>
          </w:rPr>
          <w:t xml:space="preserve">https://gitlab.com/hotmaps/regional_demand</w:t>
        </w:r>
      </w:hyperlink>
    </w:p>
    <w:bookmarkEnd w:id="132"/>
    <w:bookmarkStart w:id="134" w:name="ref-Eurostat2021census"/>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3">
        <w:r>
          <w:rPr>
            <w:rStyle w:val="Hyperlink"/>
          </w:rPr>
          <w:t xml:space="preserve">https://ec.europa.eu/eurostat/databrowser/view/CENS_21DWBNO_R3</w:t>
        </w:r>
      </w:hyperlink>
    </w:p>
    <w:bookmarkEnd w:id="134"/>
    <w:bookmarkStart w:id="136" w:name="ref-ONS2021TS044"/>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5">
        <w:r>
          <w:rPr>
            <w:rStyle w:val="Hyperlink"/>
          </w:rPr>
          <w:t xml:space="preserve">https://www.ons.gov.uk/datasets/TS044/editions/2021</w:t>
        </w:r>
      </w:hyperlink>
    </w:p>
    <w:bookmarkEnd w:id="136"/>
    <w:bookmarkStart w:id="138" w:name="ref-EurostatGISCO2021"/>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7">
        <w:r>
          <w:rPr>
            <w:rStyle w:val="Hyperlink"/>
          </w:rPr>
          <w:t xml:space="preserve">https://gisco-services.ec.europa.eu/distribution/v2/nuts/</w:t>
        </w:r>
      </w:hyperlink>
    </w:p>
    <w:bookmarkEnd w:id="138"/>
    <w:bookmarkStart w:id="140" w:name="ref-DEA2023technology"/>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39">
        <w:r>
          <w:rPr>
            <w:rStyle w:val="Hyperlink"/>
          </w:rPr>
          <w:t xml:space="preserve">https://ens.dk/en/our-services/projections-and-models/technology-data</w:t>
        </w:r>
      </w:hyperlink>
    </w:p>
    <w:bookmarkEnd w:id="140"/>
    <w:bookmarkStart w:id="142" w:name="ref-JRC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1">
        <w:r>
          <w:rPr>
            <w:rStyle w:val="Hyperlink"/>
          </w:rPr>
          <w:t xml:space="preserve">https://publications.jrc.ec.europa.eu/repository/bitstream/JRC109006/kjna28859enn.pdf</w:t>
        </w:r>
      </w:hyperlink>
    </w:p>
    <w:bookmarkEnd w:id="142"/>
    <w:bookmarkStart w:id="144" w:name="ref-IRENA2022heatpumpcosts"/>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3">
        <w:r>
          <w:rPr>
            <w:rStyle w:val="Hyperlink"/>
          </w:rPr>
          <w:t xml:space="preserve">https://www.irena.org/-/media/Files/IRENA/Agency/Publication/2022/Nov/IRENA_Heat_Pumps_Costs_Markets_2022.pdf</w:t>
        </w:r>
      </w:hyperlink>
    </w:p>
    <w:bookmarkEnd w:id="144"/>
    <w:bookmarkStart w:id="146" w:name="ref-EuropeanCommission2024ETS2"/>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5">
        <w:r>
          <w:rPr>
            <w:rStyle w:val="Hyperlink"/>
          </w:rPr>
          <w:t xml:space="preserve">https://climate.ec.europa.eu/eu-action/eu-emissions-trading-system-eu-ets/ets2-buildings-road-transport-and-additional-sectors_en</w:t>
        </w:r>
      </w:hyperlink>
    </w:p>
    <w:bookmarkEnd w:id="146"/>
    <w:bookmarkStart w:id="148" w:name="ref-EHO2024hydrogencosts"/>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7">
        <w:r>
          <w:rPr>
            <w:rStyle w:val="Hyperlink"/>
          </w:rPr>
          <w:t xml:space="preserve">https://observatory.clean-hydrogen.europa.eu/hydrogen-landscape/production-trade-and-cost/cost-hydrogen-production</w:t>
        </w:r>
      </w:hyperlink>
    </w:p>
    <w:bookmarkEnd w:id="148"/>
    <w:bookmarkStart w:id="150" w:name="ref-Eurostat2025electricityprice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49">
        <w:r>
          <w:rPr>
            <w:rStyle w:val="Hyperlink"/>
          </w:rPr>
          <w:t xml:space="preserve">https://ec.europa.eu/eurostat/statistics-explained/index.php?title=Electricity_price_statistics</w:t>
        </w:r>
      </w:hyperlink>
    </w:p>
    <w:bookmarkEnd w:id="150"/>
    <w:bookmarkStart w:id="152" w:name="ref-Eurostat2025gas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https://ec.europa.eu/eurostat/statistics-explained/index.php/Natural_gas_price_statistics</w:t>
        </w:r>
      </w:hyperlink>
    </w:p>
    <w:bookmarkEnd w:id="152"/>
    <w:bookmarkStart w:id="154" w:name="ref-Calvin2023Ipcc"/>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3">
        <w:r>
          <w:rPr>
            <w:rStyle w:val="Hyperlink"/>
          </w:rPr>
          <w:t xml:space="preserve">10.59327/ipcc/ar6-9789291691647</w:t>
        </w:r>
      </w:hyperlink>
      <w:r>
        <w:rPr>
          <w:rFonts w:ascii="Times New Roman" w:hAnsi="Times New Roman"/>
          <w:sz w:val="24"/>
        </w:rPr>
        <w:t xml:space="preserve">.</w:t>
      </w:r>
    </w:p>
    <w:bookmarkEnd w:id="154"/>
    <w:bookmarkStart w:id="156" w:name="ref-EMBER2024electricity"/>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5">
        <w:r>
          <w:rPr>
            <w:rStyle w:val="Hyperlink"/>
          </w:rPr>
          <w:t xml:space="preserve">https://ember-energy.org/latest-insights/european-electricity-review-2024/</w:t>
        </w:r>
      </w:hyperlink>
    </w:p>
    <w:bookmarkEnd w:id="156"/>
    <w:bookmarkStart w:id="158" w:name="ref-EEA2024gridintens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7">
        <w:r>
          <w:rPr>
            <w:rStyle w:val="Hyperlink"/>
          </w:rPr>
          <w:t xml:space="preserve">https://www.eea.europa.eu/data-and-maps/indicators/overview-of-the-electricity-production-3/assessment</w:t>
        </w:r>
      </w:hyperlink>
    </w:p>
    <w:bookmarkEnd w:id="158"/>
    <w:bookmarkStart w:id="160" w:name="ref-Lord2014GeologicStorage"/>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59">
        <w:r>
          <w:rPr>
            <w:rStyle w:val="Hyperlink"/>
          </w:rPr>
          <w:t xml:space="preserve">10.1016/j.ijhydene.2014.07.121</w:t>
        </w:r>
      </w:hyperlink>
      <w:r>
        <w:rPr>
          <w:rFonts w:ascii="Times New Roman" w:hAnsi="Times New Roman"/>
          <w:sz w:val="24"/>
        </w:rPr>
        <w:t xml:space="preserve">.</w:t>
      </w:r>
    </w:p>
    <w:bookmarkEnd w:id="160"/>
    <w:bookmarkStart w:id="162" w:name="ref-Papadias2021Bulk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1">
        <w:r>
          <w:rPr>
            <w:rStyle w:val="Hyperlink"/>
          </w:rPr>
          <w:t xml:space="preserve">10.1016/j.ijhydene.2021.08.028</w:t>
        </w:r>
      </w:hyperlink>
      <w:r>
        <w:rPr>
          <w:rFonts w:ascii="Times New Roman" w:hAnsi="Times New Roman"/>
          <w:sz w:val="24"/>
        </w:rPr>
        <w:t xml:space="preserve">.</w:t>
      </w:r>
    </w:p>
    <w:bookmarkEnd w:id="162"/>
    <w:bookmarkStart w:id="164" w:name="ref-Caglayan2020caverns"/>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63">
        <w:r>
          <w:rPr>
            <w:rStyle w:val="Hyperlink"/>
          </w:rPr>
          <w:t xml:space="preserve">10.1016/j.ijhydene.2019.12.161</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2026-08-11T22:51:57Z</dcterms:created>
  <dcterms:modified xsi:type="dcterms:W3CDTF">2026-08-11T22:51:57Z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