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3FE2" w14:textId="2CFEAB21" w:rsidR="007C2AA6" w:rsidRPr="007C2AA6" w:rsidRDefault="007C2AA6" w:rsidP="007C2AA6">
      <w:pPr>
        <w:pStyle w:val="Title"/>
        <w:rPr>
          <w:sz w:val="40"/>
          <w:szCs w:val="40"/>
        </w:rPr>
      </w:pPr>
      <w:r w:rsidRPr="007C2AA6">
        <w:rPr>
          <w:sz w:val="40"/>
          <w:szCs w:val="40"/>
        </w:rPr>
        <w:t xml:space="preserve">SC-200 – Configure your Microsoft Sentinel Environment </w:t>
      </w:r>
    </w:p>
    <w:p w14:paraId="40F7EA01" w14:textId="01D8FA1D" w:rsidR="007C2AA6" w:rsidRDefault="007C2AA6" w:rsidP="007C2AA6"/>
    <w:p w14:paraId="7BFFE487" w14:textId="6F455E6E" w:rsidR="007C2AA6" w:rsidRDefault="007C2AA6" w:rsidP="007C2AA6">
      <w:pPr>
        <w:pStyle w:val="Heading1"/>
      </w:pPr>
      <w:r>
        <w:t>Workspace Options</w:t>
      </w:r>
    </w:p>
    <w:p w14:paraId="5344A72F" w14:textId="0BCE8E6B" w:rsidR="007C2AA6" w:rsidRDefault="007C2AA6" w:rsidP="007C2AA6"/>
    <w:p w14:paraId="73535C1C" w14:textId="669C3B0E" w:rsidR="00732357" w:rsidRDefault="007C2AA6" w:rsidP="009458B6">
      <w:pPr>
        <w:pStyle w:val="Heading2"/>
      </w:pPr>
      <w:r>
        <w:t>Single Tenant, Single Workspace</w:t>
      </w:r>
    </w:p>
    <w:p w14:paraId="351DA8FA" w14:textId="12926DD7" w:rsidR="00732357" w:rsidRDefault="000B2080" w:rsidP="009E0584">
      <w:r>
        <w:rPr>
          <w:noProof/>
        </w:rPr>
        <w:drawing>
          <wp:anchor distT="0" distB="0" distL="114300" distR="114300" simplePos="0" relativeHeight="251658240" behindDoc="0" locked="0" layoutInCell="1" allowOverlap="1" wp14:anchorId="2EABB3EC" wp14:editId="47A5A5B3">
            <wp:simplePos x="0" y="0"/>
            <wp:positionH relativeFrom="column">
              <wp:posOffset>180975</wp:posOffset>
            </wp:positionH>
            <wp:positionV relativeFrom="paragraph">
              <wp:posOffset>132080</wp:posOffset>
            </wp:positionV>
            <wp:extent cx="4831080" cy="3138170"/>
            <wp:effectExtent l="0" t="0" r="762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138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9E0584" w14:paraId="06CBB8FA" w14:textId="77777777" w:rsidTr="009E0584">
        <w:trPr>
          <w:jc w:val="center"/>
        </w:trPr>
        <w:tc>
          <w:tcPr>
            <w:tcW w:w="4508" w:type="dxa"/>
          </w:tcPr>
          <w:p w14:paraId="79209D95" w14:textId="50011D39" w:rsidR="009E0584" w:rsidRDefault="009E0584" w:rsidP="009E0584">
            <w:r>
              <w:t>Pros</w:t>
            </w:r>
          </w:p>
        </w:tc>
        <w:tc>
          <w:tcPr>
            <w:tcW w:w="4508" w:type="dxa"/>
          </w:tcPr>
          <w:p w14:paraId="734A5C81" w14:textId="34ADE30F" w:rsidR="009E0584" w:rsidRDefault="009E0584" w:rsidP="009E0584">
            <w:r>
              <w:t>Cons</w:t>
            </w:r>
          </w:p>
        </w:tc>
      </w:tr>
      <w:tr w:rsidR="009E0584" w14:paraId="1E14DCED" w14:textId="77777777" w:rsidTr="009E0584">
        <w:trPr>
          <w:jc w:val="center"/>
        </w:trPr>
        <w:tc>
          <w:tcPr>
            <w:tcW w:w="4508" w:type="dxa"/>
          </w:tcPr>
          <w:p w14:paraId="508408E4" w14:textId="7C789CF2" w:rsidR="009E0584" w:rsidRDefault="00732357" w:rsidP="009E0584">
            <w:r>
              <w:t>Central Pane of Glass</w:t>
            </w:r>
          </w:p>
        </w:tc>
        <w:tc>
          <w:tcPr>
            <w:tcW w:w="4508" w:type="dxa"/>
          </w:tcPr>
          <w:p w14:paraId="7455E3E6" w14:textId="791A59B7" w:rsidR="009E0584" w:rsidRDefault="00732357" w:rsidP="009E0584">
            <w:r>
              <w:t>May not meet Data Governance Requirements</w:t>
            </w:r>
          </w:p>
        </w:tc>
      </w:tr>
      <w:tr w:rsidR="009E0584" w14:paraId="06574F06" w14:textId="77777777" w:rsidTr="009E0584">
        <w:trPr>
          <w:jc w:val="center"/>
        </w:trPr>
        <w:tc>
          <w:tcPr>
            <w:tcW w:w="4508" w:type="dxa"/>
          </w:tcPr>
          <w:p w14:paraId="216C3901" w14:textId="4E600264" w:rsidR="009E0584" w:rsidRDefault="00732357" w:rsidP="009E0584">
            <w:r>
              <w:t>Consolidates all security logs and information</w:t>
            </w:r>
          </w:p>
        </w:tc>
        <w:tc>
          <w:tcPr>
            <w:tcW w:w="4508" w:type="dxa"/>
          </w:tcPr>
          <w:p w14:paraId="4FD3AB16" w14:textId="42366D1D" w:rsidR="009E0584" w:rsidRDefault="00732357" w:rsidP="009E0584">
            <w:r>
              <w:t>Can incur bandwidth costs for cross region</w:t>
            </w:r>
          </w:p>
        </w:tc>
      </w:tr>
      <w:tr w:rsidR="009E0584" w14:paraId="1BC19757" w14:textId="77777777" w:rsidTr="009E0584">
        <w:trPr>
          <w:jc w:val="center"/>
        </w:trPr>
        <w:tc>
          <w:tcPr>
            <w:tcW w:w="4508" w:type="dxa"/>
          </w:tcPr>
          <w:p w14:paraId="5E7F5F76" w14:textId="54F34F4E" w:rsidR="009E0584" w:rsidRDefault="00732357" w:rsidP="009E0584">
            <w:r>
              <w:t>Easier to query all information</w:t>
            </w:r>
          </w:p>
        </w:tc>
        <w:tc>
          <w:tcPr>
            <w:tcW w:w="4508" w:type="dxa"/>
          </w:tcPr>
          <w:p w14:paraId="577E1A3E" w14:textId="77777777" w:rsidR="009E0584" w:rsidRDefault="009E0584" w:rsidP="009E0584"/>
        </w:tc>
      </w:tr>
      <w:tr w:rsidR="009E0584" w14:paraId="13F4E635" w14:textId="77777777" w:rsidTr="009E0584">
        <w:trPr>
          <w:jc w:val="center"/>
        </w:trPr>
        <w:tc>
          <w:tcPr>
            <w:tcW w:w="4508" w:type="dxa"/>
          </w:tcPr>
          <w:p w14:paraId="6CD79DC6" w14:textId="01FA2BB9" w:rsidR="009E0584" w:rsidRDefault="00732357" w:rsidP="009E0584">
            <w:r>
              <w:t>Azure Log Analytics RBAC to control data access</w:t>
            </w:r>
          </w:p>
        </w:tc>
        <w:tc>
          <w:tcPr>
            <w:tcW w:w="4508" w:type="dxa"/>
          </w:tcPr>
          <w:p w14:paraId="26CCA579" w14:textId="77777777" w:rsidR="009E0584" w:rsidRDefault="009E0584" w:rsidP="009E0584"/>
        </w:tc>
      </w:tr>
      <w:tr w:rsidR="009E0584" w14:paraId="2CDDA9BE" w14:textId="77777777" w:rsidTr="009E0584">
        <w:trPr>
          <w:jc w:val="center"/>
        </w:trPr>
        <w:tc>
          <w:tcPr>
            <w:tcW w:w="4508" w:type="dxa"/>
          </w:tcPr>
          <w:p w14:paraId="35302B2A" w14:textId="69BB6802" w:rsidR="009E0584" w:rsidRDefault="00732357" w:rsidP="009E0584">
            <w:r>
              <w:t>Microsoft Sentinel RBAC for service RBAC</w:t>
            </w:r>
          </w:p>
        </w:tc>
        <w:tc>
          <w:tcPr>
            <w:tcW w:w="4508" w:type="dxa"/>
          </w:tcPr>
          <w:p w14:paraId="13F4AEAC" w14:textId="77777777" w:rsidR="009E0584" w:rsidRDefault="009E0584" w:rsidP="009E0584"/>
        </w:tc>
      </w:tr>
    </w:tbl>
    <w:p w14:paraId="58F626E4" w14:textId="40C6CFCE" w:rsidR="007C2AA6" w:rsidRDefault="007C2AA6" w:rsidP="007C2AA6"/>
    <w:p w14:paraId="6688D4BC" w14:textId="70F4D516" w:rsidR="007C2AA6" w:rsidRDefault="007C2AA6" w:rsidP="007C2AA6">
      <w:pPr>
        <w:pStyle w:val="Heading2"/>
      </w:pPr>
      <w:r>
        <w:t>Single tenant, regional workspaces</w:t>
      </w:r>
    </w:p>
    <w:p w14:paraId="584807C0" w14:textId="74B14DBD" w:rsidR="009458B6" w:rsidRDefault="009458B6" w:rsidP="007C2AA6"/>
    <w:p w14:paraId="0BF581B8" w14:textId="6F3B3FAC" w:rsidR="009458B6" w:rsidRDefault="009458B6" w:rsidP="007C2AA6">
      <w:r>
        <w:t>Multiple sentinel workspaces requiring the creation and configuration of multiple Microsoft sentinel and log analytics workspaces.</w:t>
      </w:r>
    </w:p>
    <w:p w14:paraId="0D81C38F" w14:textId="4F06ACE8" w:rsidR="000B2080" w:rsidRDefault="000B2080" w:rsidP="007C2AA6">
      <w:r>
        <w:rPr>
          <w:noProof/>
        </w:rPr>
        <w:drawing>
          <wp:anchor distT="0" distB="0" distL="114300" distR="114300" simplePos="0" relativeHeight="251659264" behindDoc="0" locked="0" layoutInCell="1" allowOverlap="1" wp14:anchorId="0E59835D" wp14:editId="3C79ED97">
            <wp:simplePos x="0" y="0"/>
            <wp:positionH relativeFrom="page">
              <wp:posOffset>1445733</wp:posOffset>
            </wp:positionH>
            <wp:positionV relativeFrom="paragraph">
              <wp:posOffset>179476</wp:posOffset>
            </wp:positionV>
            <wp:extent cx="4033520" cy="1649730"/>
            <wp:effectExtent l="0" t="0" r="508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1649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CC190D" w14:textId="49E9FAAA" w:rsidR="000B2080" w:rsidRDefault="000B2080" w:rsidP="007C2AA6"/>
    <w:p w14:paraId="304217D0" w14:textId="5D606E76" w:rsidR="000B2080" w:rsidRDefault="000B2080" w:rsidP="007C2AA6"/>
    <w:p w14:paraId="577A8FF0" w14:textId="13F0D9AF" w:rsidR="000B2080" w:rsidRDefault="000B2080" w:rsidP="007C2AA6"/>
    <w:p w14:paraId="19DBCCD8" w14:textId="204E2BC6" w:rsidR="000B2080" w:rsidRDefault="000B2080" w:rsidP="007C2AA6"/>
    <w:p w14:paraId="286381A1" w14:textId="0C70CA4B" w:rsidR="000B2080" w:rsidRDefault="000B2080" w:rsidP="007C2AA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0B2080" w14:paraId="22448413" w14:textId="77777777" w:rsidTr="00B66E98">
        <w:trPr>
          <w:jc w:val="center"/>
        </w:trPr>
        <w:tc>
          <w:tcPr>
            <w:tcW w:w="4508" w:type="dxa"/>
          </w:tcPr>
          <w:p w14:paraId="4136A8DA" w14:textId="77777777" w:rsidR="000B2080" w:rsidRDefault="000B2080" w:rsidP="00B66E98">
            <w:r>
              <w:lastRenderedPageBreak/>
              <w:t>Pros</w:t>
            </w:r>
          </w:p>
        </w:tc>
        <w:tc>
          <w:tcPr>
            <w:tcW w:w="4508" w:type="dxa"/>
          </w:tcPr>
          <w:p w14:paraId="68F88CF5" w14:textId="77777777" w:rsidR="000B2080" w:rsidRDefault="000B2080" w:rsidP="00B66E98">
            <w:r>
              <w:t>Cons</w:t>
            </w:r>
          </w:p>
        </w:tc>
      </w:tr>
      <w:tr w:rsidR="000B2080" w14:paraId="4AFD3AAD" w14:textId="77777777" w:rsidTr="00B66E98">
        <w:trPr>
          <w:jc w:val="center"/>
        </w:trPr>
        <w:tc>
          <w:tcPr>
            <w:tcW w:w="4508" w:type="dxa"/>
          </w:tcPr>
          <w:p w14:paraId="398B840D" w14:textId="2E942917" w:rsidR="000B2080" w:rsidRDefault="000B2080" w:rsidP="00B66E98">
            <w:r>
              <w:t>No cross-region bandwidth costs</w:t>
            </w:r>
          </w:p>
        </w:tc>
        <w:tc>
          <w:tcPr>
            <w:tcW w:w="4508" w:type="dxa"/>
          </w:tcPr>
          <w:p w14:paraId="3855B493" w14:textId="4E7C3F33" w:rsidR="000B2080" w:rsidRDefault="000B2080" w:rsidP="00B66E98">
            <w:r>
              <w:t xml:space="preserve">No central pane of glass. You are not looking in one place to see all the data. </w:t>
            </w:r>
          </w:p>
        </w:tc>
      </w:tr>
      <w:tr w:rsidR="000B2080" w14:paraId="5449D938" w14:textId="77777777" w:rsidTr="00B66E98">
        <w:trPr>
          <w:jc w:val="center"/>
        </w:trPr>
        <w:tc>
          <w:tcPr>
            <w:tcW w:w="4508" w:type="dxa"/>
          </w:tcPr>
          <w:p w14:paraId="6FC0DF6D" w14:textId="63F7634E" w:rsidR="000B2080" w:rsidRDefault="000B2080" w:rsidP="00B66E98">
            <w:r>
              <w:t>May be required to meet Data governance requirements</w:t>
            </w:r>
          </w:p>
        </w:tc>
        <w:tc>
          <w:tcPr>
            <w:tcW w:w="4508" w:type="dxa"/>
          </w:tcPr>
          <w:p w14:paraId="55485DF8" w14:textId="4CBA5389" w:rsidR="000B2080" w:rsidRDefault="000B2080" w:rsidP="00B66E98">
            <w:r>
              <w:t xml:space="preserve">Analytics, workbooks, etc. must be deployed </w:t>
            </w:r>
            <w:proofErr w:type="gramStart"/>
            <w:r>
              <w:t>over and over again</w:t>
            </w:r>
            <w:proofErr w:type="gramEnd"/>
            <w:r>
              <w:t>.</w:t>
            </w:r>
          </w:p>
        </w:tc>
      </w:tr>
      <w:tr w:rsidR="000B2080" w14:paraId="5D995585" w14:textId="77777777" w:rsidTr="00B66E98">
        <w:trPr>
          <w:jc w:val="center"/>
        </w:trPr>
        <w:tc>
          <w:tcPr>
            <w:tcW w:w="4508" w:type="dxa"/>
          </w:tcPr>
          <w:p w14:paraId="301F294A" w14:textId="133C74AC" w:rsidR="000B2080" w:rsidRDefault="000B2080" w:rsidP="00B66E98">
            <w:r>
              <w:t>Granular data access control</w:t>
            </w:r>
          </w:p>
        </w:tc>
        <w:tc>
          <w:tcPr>
            <w:tcW w:w="4508" w:type="dxa"/>
          </w:tcPr>
          <w:p w14:paraId="367FBD99" w14:textId="77777777" w:rsidR="000B2080" w:rsidRDefault="000B2080" w:rsidP="00B66E98"/>
        </w:tc>
      </w:tr>
      <w:tr w:rsidR="000B2080" w14:paraId="230054EB" w14:textId="77777777" w:rsidTr="00B66E98">
        <w:trPr>
          <w:jc w:val="center"/>
        </w:trPr>
        <w:tc>
          <w:tcPr>
            <w:tcW w:w="4508" w:type="dxa"/>
          </w:tcPr>
          <w:p w14:paraId="5E72BF55" w14:textId="73DE75A8" w:rsidR="000B2080" w:rsidRDefault="000B2080" w:rsidP="00B66E98">
            <w:r>
              <w:t>Granular retention settings</w:t>
            </w:r>
          </w:p>
        </w:tc>
        <w:tc>
          <w:tcPr>
            <w:tcW w:w="4508" w:type="dxa"/>
          </w:tcPr>
          <w:p w14:paraId="73230EEB" w14:textId="77777777" w:rsidR="000B2080" w:rsidRDefault="000B2080" w:rsidP="00B66E98"/>
        </w:tc>
      </w:tr>
      <w:tr w:rsidR="000B2080" w14:paraId="476FB53C" w14:textId="77777777" w:rsidTr="00B66E98">
        <w:trPr>
          <w:jc w:val="center"/>
        </w:trPr>
        <w:tc>
          <w:tcPr>
            <w:tcW w:w="4508" w:type="dxa"/>
          </w:tcPr>
          <w:p w14:paraId="5EC68579" w14:textId="5E6E7BBC" w:rsidR="000B2080" w:rsidRDefault="000B2080" w:rsidP="00B66E98">
            <w:r>
              <w:t>Split billing</w:t>
            </w:r>
          </w:p>
        </w:tc>
        <w:tc>
          <w:tcPr>
            <w:tcW w:w="4508" w:type="dxa"/>
          </w:tcPr>
          <w:p w14:paraId="00FB6574" w14:textId="77777777" w:rsidR="000B2080" w:rsidRDefault="000B2080" w:rsidP="00B66E98"/>
        </w:tc>
      </w:tr>
    </w:tbl>
    <w:p w14:paraId="4E3B5545" w14:textId="77777777" w:rsidR="009458B6" w:rsidRDefault="009458B6" w:rsidP="007C2AA6"/>
    <w:p w14:paraId="4E88EFC6" w14:textId="3607A6B7" w:rsidR="007C2AA6" w:rsidRDefault="007C2AA6" w:rsidP="007C2AA6">
      <w:pPr>
        <w:pStyle w:val="Heading2"/>
      </w:pPr>
      <w:r>
        <w:t>Multi-Tenant</w:t>
      </w:r>
    </w:p>
    <w:p w14:paraId="5E938BA0" w14:textId="77777777" w:rsidR="000B2080" w:rsidRPr="000B2080" w:rsidRDefault="000B2080" w:rsidP="000B2080"/>
    <w:p w14:paraId="5C02A31B" w14:textId="79ACDF65" w:rsidR="009458B6" w:rsidRDefault="00D95527" w:rsidP="009458B6">
      <w:r>
        <w:rPr>
          <w:noProof/>
        </w:rPr>
        <w:t xml:space="preserve"> </w:t>
      </w:r>
      <w:r w:rsidR="00EC7B7A">
        <w:t xml:space="preserve">If you are required to manage a Microsoft sentinel workspace not in your </w:t>
      </w:r>
      <w:proofErr w:type="gramStart"/>
      <w:r w:rsidR="00EC7B7A">
        <w:t>tenant</w:t>
      </w:r>
      <w:proofErr w:type="gramEnd"/>
      <w:r w:rsidR="00EC7B7A">
        <w:t xml:space="preserve"> you implement Multi-tenant workspaces using Azure Lighthouse</w:t>
      </w:r>
      <w:r>
        <w:t xml:space="preserve">. </w:t>
      </w:r>
    </w:p>
    <w:p w14:paraId="78031508" w14:textId="27598F0C" w:rsidR="00BB599F" w:rsidRDefault="00BB599F" w:rsidP="009458B6">
      <w:r w:rsidRPr="00BB599F">
        <w:t xml:space="preserve">Azure Lighthouse allows greater flexibility to manage resources for multiple customers without having to sign </w:t>
      </w:r>
      <w:proofErr w:type="gramStart"/>
      <w:r w:rsidRPr="00BB599F">
        <w:t>in to</w:t>
      </w:r>
      <w:proofErr w:type="gramEnd"/>
      <w:r w:rsidRPr="00BB599F">
        <w:t xml:space="preserve"> different accounts in different tenants. For example, a service provider may have two customers with different responsibilities and access levels. Using Azure Lighthouse, authorized users can sign </w:t>
      </w:r>
      <w:proofErr w:type="gramStart"/>
      <w:r w:rsidRPr="00BB599F">
        <w:t>in to</w:t>
      </w:r>
      <w:proofErr w:type="gramEnd"/>
      <w:r w:rsidRPr="00BB599F">
        <w:t xml:space="preserve"> the service provider's tenant to access these resources.</w:t>
      </w:r>
    </w:p>
    <w:p w14:paraId="4D8FB620" w14:textId="2A05FD6B" w:rsidR="00BB599F" w:rsidRDefault="00BB599F" w:rsidP="009458B6"/>
    <w:p w14:paraId="186A628A" w14:textId="049F9893" w:rsidR="00D95527" w:rsidRDefault="00BB599F" w:rsidP="009458B6">
      <w:r>
        <w:rPr>
          <w:noProof/>
        </w:rPr>
        <w:drawing>
          <wp:anchor distT="0" distB="0" distL="114300" distR="114300" simplePos="0" relativeHeight="251660288" behindDoc="0" locked="0" layoutInCell="1" allowOverlap="1" wp14:anchorId="03C5A2D0" wp14:editId="58DEF091">
            <wp:simplePos x="0" y="0"/>
            <wp:positionH relativeFrom="page">
              <wp:posOffset>387985</wp:posOffset>
            </wp:positionH>
            <wp:positionV relativeFrom="paragraph">
              <wp:posOffset>210820</wp:posOffset>
            </wp:positionV>
            <wp:extent cx="6276340" cy="27870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278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EA1B7" w14:textId="0B93CCC2" w:rsidR="00D95527" w:rsidRDefault="00D95527" w:rsidP="009458B6"/>
    <w:p w14:paraId="4022E673" w14:textId="3E459BFF" w:rsidR="00D95527" w:rsidRDefault="00D95527" w:rsidP="00D95527">
      <w:pPr>
        <w:pStyle w:val="Heading2"/>
      </w:pPr>
      <w:r>
        <w:t>Microsoft Sentinel Installation</w:t>
      </w:r>
    </w:p>
    <w:p w14:paraId="0F7E5A29" w14:textId="7D55862C" w:rsidR="00D95527" w:rsidRDefault="00D95527" w:rsidP="00D95527"/>
    <w:p w14:paraId="45A9F8FE" w14:textId="0E85FCDA" w:rsidR="0067140D" w:rsidRDefault="00D95527" w:rsidP="00D95527">
      <w:r>
        <w:t xml:space="preserve">To enable </w:t>
      </w:r>
      <w:proofErr w:type="gramStart"/>
      <w:r>
        <w:t>sentinel</w:t>
      </w:r>
      <w:proofErr w:type="gramEnd"/>
      <w:r>
        <w:t xml:space="preserve"> you need </w:t>
      </w:r>
      <w:r>
        <w:rPr>
          <w:b/>
          <w:bCs/>
        </w:rPr>
        <w:t xml:space="preserve">Contributor </w:t>
      </w:r>
      <w:r>
        <w:t xml:space="preserve">permissions to the subscription in which the sentinel workspace resides. </w:t>
      </w:r>
      <w:r w:rsidR="00BB599F">
        <w:t xml:space="preserve">To use </w:t>
      </w:r>
      <w:proofErr w:type="gramStart"/>
      <w:r w:rsidR="00BB599F">
        <w:t>sentinel</w:t>
      </w:r>
      <w:proofErr w:type="gramEnd"/>
      <w:r w:rsidR="00BB599F">
        <w:t xml:space="preserve"> you need either contributor or reader permissions on the </w:t>
      </w:r>
    </w:p>
    <w:p w14:paraId="4339744D" w14:textId="4541E760" w:rsidR="0067140D" w:rsidRDefault="0067140D" w:rsidP="00D95527"/>
    <w:p w14:paraId="0C561FDA" w14:textId="77777777" w:rsidR="0052248E" w:rsidRDefault="0052248E" w:rsidP="00D95527"/>
    <w:p w14:paraId="4F2F771B" w14:textId="69DBBC8B" w:rsidR="0067140D" w:rsidRDefault="0067140D" w:rsidP="0067140D">
      <w:pPr>
        <w:pStyle w:val="Heading2"/>
      </w:pPr>
      <w:r>
        <w:lastRenderedPageBreak/>
        <w:t xml:space="preserve">Roles and permissions </w:t>
      </w:r>
    </w:p>
    <w:p w14:paraId="2DDD03C7" w14:textId="12E6B69F" w:rsidR="0067140D" w:rsidRDefault="0067140D" w:rsidP="0067140D"/>
    <w:p w14:paraId="37F8B69F" w14:textId="7A1C2349" w:rsidR="0067140D" w:rsidRDefault="0067140D" w:rsidP="0067140D">
      <w:r>
        <w:t>Azure RBAC is the authorisation system the manages access to azure resources. It is built on azure resource manager</w:t>
      </w:r>
      <w:r w:rsidR="0052248E">
        <w:t xml:space="preserve">, which provides access management of Azure resources. </w:t>
      </w:r>
    </w:p>
    <w:p w14:paraId="011DCF8C" w14:textId="11C5264E" w:rsidR="00B46575" w:rsidRDefault="00B46575" w:rsidP="0067140D">
      <w:r>
        <w:t>Sentinel Specific roles:</w:t>
      </w:r>
    </w:p>
    <w:p w14:paraId="535B4AD6" w14:textId="0CA04F89" w:rsidR="00B46575" w:rsidRDefault="00B46575" w:rsidP="00B46575">
      <w:pPr>
        <w:pStyle w:val="ListParagraph"/>
        <w:numPr>
          <w:ilvl w:val="0"/>
          <w:numId w:val="1"/>
        </w:numPr>
      </w:pPr>
      <w:r>
        <w:rPr>
          <w:b/>
          <w:bCs/>
        </w:rPr>
        <w:t>Reader:</w:t>
      </w:r>
      <w:r>
        <w:t xml:space="preserve"> this role can review data, incidents, </w:t>
      </w:r>
      <w:proofErr w:type="gramStart"/>
      <w:r>
        <w:t>workbooks</w:t>
      </w:r>
      <w:proofErr w:type="gramEnd"/>
      <w:r>
        <w:t xml:space="preserve"> and other sentinel resources.</w:t>
      </w:r>
    </w:p>
    <w:p w14:paraId="7D17E926" w14:textId="6633D6D1" w:rsidR="00B46575" w:rsidRDefault="00B46575" w:rsidP="00B46575">
      <w:pPr>
        <w:pStyle w:val="ListParagraph"/>
        <w:numPr>
          <w:ilvl w:val="0"/>
          <w:numId w:val="1"/>
        </w:numPr>
      </w:pPr>
      <w:r>
        <w:rPr>
          <w:b/>
          <w:bCs/>
        </w:rPr>
        <w:t>Responder:</w:t>
      </w:r>
      <w:r>
        <w:t xml:space="preserve"> </w:t>
      </w:r>
      <w:r>
        <w:rPr>
          <w:b/>
          <w:bCs/>
        </w:rPr>
        <w:t xml:space="preserve"> </w:t>
      </w:r>
      <w:r>
        <w:t xml:space="preserve">Has all permissions of </w:t>
      </w:r>
      <w:r>
        <w:rPr>
          <w:b/>
          <w:bCs/>
        </w:rPr>
        <w:t>Reader</w:t>
      </w:r>
      <w:r>
        <w:t xml:space="preserve"> role. </w:t>
      </w:r>
      <w:proofErr w:type="gramStart"/>
      <w:r>
        <w:t>Plus</w:t>
      </w:r>
      <w:proofErr w:type="gramEnd"/>
      <w:r>
        <w:t xml:space="preserve"> it can manage incidents by assigning or dismissing them.</w:t>
      </w:r>
    </w:p>
    <w:p w14:paraId="6DC508EF" w14:textId="4241D97F" w:rsidR="00B46575" w:rsidRDefault="00B46575" w:rsidP="00B46575">
      <w:pPr>
        <w:pStyle w:val="ListParagraph"/>
        <w:numPr>
          <w:ilvl w:val="0"/>
          <w:numId w:val="1"/>
        </w:numPr>
      </w:pPr>
      <w:r>
        <w:rPr>
          <w:b/>
          <w:bCs/>
        </w:rPr>
        <w:t>Contributor:</w:t>
      </w:r>
      <w:r>
        <w:t xml:space="preserve"> This role has all permissions of Reader and Responder roles. Can also create and edit workbooks, analytic </w:t>
      </w:r>
      <w:proofErr w:type="gramStart"/>
      <w:r>
        <w:t>rules</w:t>
      </w:r>
      <w:proofErr w:type="gramEnd"/>
      <w:r>
        <w:t xml:space="preserve"> and other sentinel resources. To deploy sentinel on your tenant you need contributor permissions for the subscription where sentinel is deployed.</w:t>
      </w:r>
    </w:p>
    <w:p w14:paraId="268AC83C" w14:textId="4E94174D" w:rsidR="0052248E" w:rsidRDefault="0052248E" w:rsidP="0067140D"/>
    <w:p w14:paraId="1EF3F507" w14:textId="77777777" w:rsidR="0052248E" w:rsidRPr="0067140D" w:rsidRDefault="0052248E" w:rsidP="0067140D"/>
    <w:p w14:paraId="3E632328" w14:textId="7B8C2EAC" w:rsidR="00D95527" w:rsidRPr="009458B6" w:rsidRDefault="00D95527" w:rsidP="009458B6"/>
    <w:sectPr w:rsidR="00D95527" w:rsidRPr="00945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13642"/>
    <w:multiLevelType w:val="hybridMultilevel"/>
    <w:tmpl w:val="A3BE4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A6"/>
    <w:rsid w:val="000B2080"/>
    <w:rsid w:val="0052248E"/>
    <w:rsid w:val="0067140D"/>
    <w:rsid w:val="00732357"/>
    <w:rsid w:val="007C2AA6"/>
    <w:rsid w:val="009458B6"/>
    <w:rsid w:val="009E0584"/>
    <w:rsid w:val="00B46575"/>
    <w:rsid w:val="00B46DAE"/>
    <w:rsid w:val="00BB599F"/>
    <w:rsid w:val="00C26E40"/>
    <w:rsid w:val="00D95527"/>
    <w:rsid w:val="00EA6E15"/>
    <w:rsid w:val="00EC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23125A5"/>
  <w15:chartTrackingRefBased/>
  <w15:docId w15:val="{021EC581-D6E8-4F9A-BC1E-50C0DA4F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A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C2AA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AA6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C2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2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2A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E0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Alakija</dc:creator>
  <cp:keywords/>
  <dc:description/>
  <cp:lastModifiedBy>David Alakija</cp:lastModifiedBy>
  <cp:revision>1</cp:revision>
  <dcterms:created xsi:type="dcterms:W3CDTF">2022-04-07T08:26:00Z</dcterms:created>
  <dcterms:modified xsi:type="dcterms:W3CDTF">2022-04-07T10:04:00Z</dcterms:modified>
</cp:coreProperties>
</file>