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LET'S NOT GOOGLE MEET</w:t>
      </w:r>
    </w:p>
    <w:p>
      <w:r>
        <w:t>Legal Risk &amp; Clearance Checklist (Australia)</w:t>
      </w:r>
    </w:p>
    <w:p>
      <w:pPr>
        <w:pStyle w:val="ListBullet"/>
      </w:pPr>
      <w:r>
        <w:t>Independent legal review under Australian defamation law.</w:t>
      </w:r>
    </w:p>
    <w:p>
      <w:pPr>
        <w:pStyle w:val="ListBullet"/>
      </w:pPr>
      <w:r>
        <w:t>Fact verification of all documented correspondence.</w:t>
      </w:r>
    </w:p>
    <w:p>
      <w:pPr>
        <w:pStyle w:val="ListBullet"/>
      </w:pPr>
      <w:r>
        <w:t>Right-of-reply invitation formally documented.</w:t>
      </w:r>
    </w:p>
    <w:p>
      <w:pPr>
        <w:pStyle w:val="ListBullet"/>
      </w:pPr>
      <w:r>
        <w:t>Errors &amp; Omissions insurance prior to distribution.</w:t>
      </w:r>
    </w:p>
    <w:p>
      <w:pPr>
        <w:pStyle w:val="ListBullet"/>
      </w:pPr>
      <w:r>
        <w:t>Release forms for all interviewees.</w:t>
      </w:r>
    </w:p>
    <w:p>
      <w:pPr>
        <w:pStyle w:val="ListBullet"/>
      </w:pPr>
      <w:r>
        <w:t>Fair dealing analysis for any archival materials.</w:t>
      </w:r>
    </w:p>
    <w:p>
      <w:pPr>
        <w:pStyle w:val="ListBullet"/>
      </w:pPr>
      <w:r>
        <w:t>Clear separation between allegation and documented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