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17346"/>
        </w:rPr>
        <w:t xml:space="preserve">دراسة المشروع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ظلال المدارس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app-011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ظلال المدارس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1. المشكلة ومبررات التدخل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زراعة أشجار ظل ملائمة في ساحات ومحيط المدارس.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2. الأهداف والمستفيدون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إغلاق فجوة الاحتياج وتحقيق نتيجة قابلة للقياس.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8"/>
          <w:szCs w:val="28"/>
        </w:rPr>
        <w:t xml:space="preserve">• تحديد المستفيدين وفق معايير مكتوبة ومنع الازدواجية.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3. خطة التنفيذ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المرحلة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الأنشطة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المخرج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التحقق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حصر وتحقق واستحقاق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1-2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معتمدة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التصميم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نطاق ومواصفات وخطة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ميثاق وخطة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التعاقد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واعتماد 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2-4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عقد/أمر شراء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تنفيذ ومتابعة واستلام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6-9 أشهر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مخرجات موثقة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وإقفال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2 أسبوع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إغلاق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4. الميزانية التقديرية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التقدير المرجعي: 100,000 — 250,000 ريال. تعتمد الميزانية النهائية على الكميات وعروض الأسعار المعتمدة.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البند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الكمية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سعر الوحدة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الإجمالي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الخدمة/الأصل الأساسي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التجهيز والتنفيذ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اللوجستيات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قياس الأثر والتوثيق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5. مؤشرات الأداء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المؤشر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خط الأساس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المستهدف</w:t>
            </w:r>
          </w:p>
        </w:tc>
        <w:tc>
          <w:tcPr>
            <w:tcW w:w="4500" w:type="dxa"/>
            <w:shd w:fill="217346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مصدر التحقق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 المكتملين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نسبة الإنجاز المطابق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تكلفة المستفيد/الوحدة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رضا المستفيد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مؤشر النتيجة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17346"/>
        </w:rPr>
        <w:t xml:space="preserve">6. المخاطر والاستدامة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تحدد المخاطر الفنية والمالية والتشغيلية ومالك كل خطر، مع خطة استدامة وصيانة/متابعة بعد الإغلاق.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ظلال المدارس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زراعة أشجار ظل ملائمة في ساحات ومحيط المدارس.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250,000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6-9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