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نطاقات خضراء في المداخل والمواقع العامة للقرى.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