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للأطفال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مع خطة استبدال أو تعديل تراعي النمو.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