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توجيه العوائد لمشروعات الخزانات والمحطات والصهاريج.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