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مستدامة بعقد تشغيل خمس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محطة مع تضمين التمويل الرأسمالي وعقد تشغيل طويل المدى.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700,000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 + 5 سنوات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