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مستدامة بعقد تشغيل خمس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محطة مع تضمين التمويل الرأسمالي وعقد تشغيل طويل المدى.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700,000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 + 5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