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C9A227"/>
        </w:rPr>
        <w:t xml:space="preserve">معايير الاستحقاق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استعادة الأراضي المتدهورة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app-002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استعادة الأراضي المتدهورة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غرس الأشجار لمكافحة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C9A227"/>
        </w:rPr>
        <w:t xml:space="preserve">معايير الاستحقاق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المعيار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الأولوية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دليل الإثبات</w:t>
            </w:r>
          </w:p>
        </w:tc>
        <w:tc>
          <w:tcPr>
            <w:tcW w:w="4500" w:type="dxa"/>
            <w:shd w:fill="C9A227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قرار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الانطباق على الفئة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الحاجة الفعلية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الدخل/القدرة المالية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عدم الازدواجية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أولوية الحالة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الموافقات الخاصة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مؤهل ☐ غير مؤهل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تنبيه: لمسارات الزكاة يجب توثيق أهلية المصرف والمستفيد وفق الضوابط المعتمدة لدى الجهة والمنصة.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