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مداخل القرى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مداخل القرى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إنشاء نطاقات خضراء في المداخل والمواقع العامة للقرى.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8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150,000 — 300,000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