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تغطية الجلسات المقررة طبيًا لمدة تصل إلى عام.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