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تشمل الطرف الصناعي والعلاج الطبيعي والتدريب والمتابعة.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350,000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