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مخصص مالي للحالات الجديدة التي تحتاج تدخلًا سريعًا.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600,000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