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دراسة المشروع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كفالة دعاة الجاليات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opp-037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كفالة دعاة الجاليات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ديني وضيوف الرحمن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1. المشكلة ومبررات التدخل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مشروع مرتبط بفرصة كفالة دعاة الجاليات ضمن مجال ديني وضيوف الرحمن، ويُخصص وفق احتياج المستفيدين وضوابط الجهة.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2. الأهداف والمستفيدون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8"/>
          <w:szCs w:val="28"/>
        </w:rPr>
        <w:t xml:space="preserve">• إغلاق فجوة الاحتياج وتحقيق نتيجة قابلة للقياس.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8"/>
          <w:szCs w:val="28"/>
        </w:rPr>
        <w:t xml:space="preserve">• تحديد المستفيدين وفق معايير مكتوبة ومنع الازدواجية.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3. خطة التنفيذ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المرحلة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الأنشطة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المخرج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التحقق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حصر وتحقق واستحقاق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1-2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قائمة معتمدة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التصميم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نطاق ومواصفات وخطة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ميثاق وخطة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التعاقد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عروض واعتماد مورد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2-4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عقد/أمر شراء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تنفيذ ومتابعة واستلام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[تحدد بعد اعتماد النطاق]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مخرجات موثقة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الإغلاق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وإقفال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تقرير إغلاق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4. الميزانية التقديرية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التقدير المرجعي: [يحدد بعد عروض الأسعار]. تعتمد الميزانية النهائية على الكميات وعروض الأسعار المعتمدة.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الوحدة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الكمية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سعر الوحدة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الإجمالي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الخدمة/الأصل الأساسي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التجهيز والتنفيذ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اللوجستيات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الأثر والتوثيق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5. مؤشرات الأداء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المؤشر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خط الأساس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المستهدف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مصدر التحقق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 المكتملين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نسبة الإنجاز المطابق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تكلفة المستفيد/الوحدة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رضا المستفيد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مؤشر النتيجة النهائية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6. المخاطر والاستدامة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تحدد المخاطر الفنية والمالية والتشغيلية ومالك كل خطر، مع خطة استدامة وصيانة/متابعة بعد الإغلاق.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