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C9A227"/>
        </w:rPr>
        <w:t xml:space="preserve">معايير الاستحقاق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ظلال المدارس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app-011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ظلال المدارس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زراعة الأشجار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C9A227"/>
        </w:rPr>
        <w:t xml:space="preserve">معايير الاستحقاق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المعيار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الأولوية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دليل الإثبات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قرار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الانطباق على الفئة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الحاجة الفعلية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الدخل/القدرة المالية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عدم الازدواجية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أولوية الحالة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الموافقات الخاصة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تنبيه: لمسارات الزكاة يجب توثيق أهلية المصرف والمستفيد وفق الضوابط المعتمدة لدى الجهة والمنصة.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ظلال المدارس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زراعة الأشجار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زراعة أشجار ظل ملائمة في ساحات ومحيط المدارس.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100,000 — 250,000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6-9 أشهر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